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7216"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46DA7CAB" w:rsidR="0088301E" w:rsidRDefault="0088301E" w:rsidP="00076282">
      <w:pPr>
        <w:spacing w:before="0" w:after="120"/>
        <w:ind w:firstLine="0"/>
      </w:pPr>
      <w:r w:rsidRPr="003566B0">
        <w:rPr>
          <w:b/>
          <w:bCs/>
        </w:rPr>
        <w:t>Meeting:</w:t>
      </w:r>
      <w:r w:rsidRPr="002C7104">
        <w:t xml:space="preserve"> </w:t>
      </w:r>
      <w:r w:rsidR="00076282" w:rsidRPr="00076282">
        <w:rPr>
          <w:noProof/>
        </w:rPr>
        <w:t xml:space="preserve"> </w:t>
      </w:r>
      <w:r w:rsidR="00F879D1">
        <w:rPr>
          <w:noProof/>
        </w:rPr>
        <w:t xml:space="preserve">People and Places </w:t>
      </w:r>
      <w:r w:rsidR="007B4068">
        <w:rPr>
          <w:noProof/>
        </w:rPr>
        <w:t>Board</w:t>
      </w:r>
    </w:p>
    <w:p w14:paraId="48F31F7A" w14:textId="22EAB292" w:rsidR="0088301E" w:rsidRPr="003566B0" w:rsidRDefault="0088301E" w:rsidP="00076282">
      <w:pPr>
        <w:spacing w:before="0" w:after="120"/>
        <w:ind w:firstLine="0"/>
        <w:rPr>
          <w:color w:val="FF0000"/>
        </w:rPr>
      </w:pPr>
      <w:r w:rsidRPr="003566B0">
        <w:rPr>
          <w:b/>
          <w:bCs/>
        </w:rPr>
        <w:t>Date:</w:t>
      </w:r>
      <w:r>
        <w:t xml:space="preserve"> </w:t>
      </w:r>
      <w:r w:rsidR="007B4068">
        <w:t>14 March</w:t>
      </w:r>
      <w:r w:rsidR="00F879D1">
        <w:t xml:space="preserve"> 2023</w:t>
      </w:r>
    </w:p>
    <w:p w14:paraId="39F52046" w14:textId="77777777" w:rsidR="00076282" w:rsidRDefault="00076282" w:rsidP="004748F8">
      <w:pPr>
        <w:pStyle w:val="Heading1"/>
        <w:rPr>
          <w:sz w:val="32"/>
          <w:szCs w:val="32"/>
        </w:rPr>
      </w:pPr>
    </w:p>
    <w:p w14:paraId="75E4B33E" w14:textId="17A20D72" w:rsidR="002D013E" w:rsidRPr="00076282" w:rsidRDefault="00F879D1" w:rsidP="004748F8">
      <w:pPr>
        <w:pStyle w:val="Heading1"/>
        <w:rPr>
          <w:sz w:val="32"/>
          <w:szCs w:val="32"/>
        </w:rPr>
      </w:pPr>
      <w:r>
        <w:rPr>
          <w:sz w:val="32"/>
          <w:szCs w:val="32"/>
        </w:rPr>
        <w:t xml:space="preserve">Second </w:t>
      </w:r>
      <w:r w:rsidR="00E67AE0">
        <w:rPr>
          <w:sz w:val="32"/>
          <w:szCs w:val="32"/>
        </w:rPr>
        <w:t>h</w:t>
      </w:r>
      <w:r>
        <w:rPr>
          <w:sz w:val="32"/>
          <w:szCs w:val="32"/>
        </w:rPr>
        <w:t>omes</w:t>
      </w:r>
    </w:p>
    <w:p w14:paraId="61BD5ACA" w14:textId="77777777" w:rsidR="00CA5846" w:rsidRPr="00FF5DFA" w:rsidRDefault="00B56823" w:rsidP="00AE33E9">
      <w:pPr>
        <w:pStyle w:val="Heading2"/>
      </w:pPr>
      <w:r w:rsidRPr="00FF5DFA">
        <w:t>Purpose of report</w:t>
      </w:r>
    </w:p>
    <w:p w14:paraId="3850EE98" w14:textId="65C6F3C6" w:rsidR="00B56823" w:rsidRDefault="00B56823" w:rsidP="00425C92">
      <w:pPr>
        <w:spacing w:before="0" w:after="120" w:line="276" w:lineRule="auto"/>
        <w:ind w:firstLine="0"/>
      </w:pPr>
      <w:r>
        <w:t>For direction</w:t>
      </w:r>
      <w:r w:rsidR="006F1D90">
        <w:t xml:space="preserve"> </w:t>
      </w:r>
    </w:p>
    <w:p w14:paraId="13DE16B0" w14:textId="77777777" w:rsidR="00C77025" w:rsidRDefault="00B56823" w:rsidP="00AE33E9">
      <w:pPr>
        <w:pStyle w:val="Heading2"/>
      </w:pPr>
      <w:r>
        <w:t>Summary</w:t>
      </w:r>
    </w:p>
    <w:p w14:paraId="6A0ACB7C" w14:textId="549FC5CF" w:rsidR="006C4319" w:rsidRDefault="006C4319" w:rsidP="006C4319">
      <w:pPr>
        <w:spacing w:before="0" w:after="120" w:line="276" w:lineRule="auto"/>
        <w:ind w:firstLine="0"/>
      </w:pPr>
      <w:r>
        <w:t xml:space="preserve">Members have expressed an interest in understanding the LGA’s activity around second homes. This paper sets out some of the issues; updates </w:t>
      </w:r>
      <w:r w:rsidR="007B4068">
        <w:t>the Board</w:t>
      </w:r>
      <w:r>
        <w:t xml:space="preserve"> on current work; and suggests some options for additional work. </w:t>
      </w:r>
    </w:p>
    <w:p w14:paraId="4A190CC4" w14:textId="7046D9B3" w:rsidR="00B56823" w:rsidRPr="00527D6E" w:rsidRDefault="00B56823" w:rsidP="00BA5321">
      <w:pPr>
        <w:spacing w:before="0" w:after="160"/>
        <w:ind w:firstLine="0"/>
        <w:rPr>
          <w:color w:val="C00000"/>
        </w:rPr>
      </w:pPr>
    </w:p>
    <w:p w14:paraId="6427F619" w14:textId="1589197E" w:rsidR="00987523" w:rsidRPr="00076282" w:rsidRDefault="00376FD5" w:rsidP="00C51037">
      <w:pPr>
        <w:ind w:firstLine="0"/>
        <w:rPr>
          <w:b/>
          <w:bCs/>
        </w:rPr>
      </w:pPr>
      <w:r>
        <w:rPr>
          <w:b/>
          <w:bCs/>
        </w:rPr>
        <w:br/>
      </w:r>
      <w:r w:rsidR="00B56823" w:rsidRPr="00D9187A">
        <w:rPr>
          <w:b/>
          <w:bCs/>
        </w:rPr>
        <w:t xml:space="preserve">Is this report confidential? </w:t>
      </w:r>
      <w:r w:rsidR="00076282">
        <w:rPr>
          <w:b/>
          <w:bCs/>
        </w:rPr>
        <w:t xml:space="preserve"> </w:t>
      </w:r>
      <w:r w:rsidR="007B4068">
        <w:t>No</w:t>
      </w:r>
      <w:r w:rsidR="00B56823" w:rsidRPr="006455C6">
        <w:t xml:space="preserve"> </w:t>
      </w:r>
    </w:p>
    <w:p w14:paraId="6C19035B" w14:textId="77777777"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Recommendation/s</w:t>
      </w:r>
    </w:p>
    <w:p w14:paraId="040BEC48" w14:textId="1F748F14" w:rsidR="00162B91" w:rsidRPr="00584BDE" w:rsidRDefault="00B101EC" w:rsidP="00162B91">
      <w:pPr>
        <w:pBdr>
          <w:top w:val="single" w:sz="4" w:space="5" w:color="auto"/>
          <w:left w:val="single" w:sz="4" w:space="0" w:color="auto"/>
          <w:bottom w:val="single" w:sz="4" w:space="5" w:color="auto"/>
          <w:right w:val="single" w:sz="4" w:space="4" w:color="auto"/>
        </w:pBdr>
        <w:spacing w:after="160"/>
        <w:ind w:firstLine="0"/>
      </w:pPr>
      <w:r>
        <w:t xml:space="preserve">That </w:t>
      </w:r>
      <w:r w:rsidR="007B4068">
        <w:t>Board</w:t>
      </w:r>
      <w:r w:rsidR="00F879D1">
        <w:t xml:space="preserve"> Members comment on the LGA’s policy work to date</w:t>
      </w:r>
      <w:r w:rsidR="00227805">
        <w:t xml:space="preserve">; share their views on second homes </w:t>
      </w:r>
      <w:proofErr w:type="gramStart"/>
      <w:r w:rsidR="00227805">
        <w:t>data,</w:t>
      </w:r>
      <w:r w:rsidR="00F879D1">
        <w:t xml:space="preserve"> and</w:t>
      </w:r>
      <w:proofErr w:type="gramEnd"/>
      <w:r w:rsidR="00F879D1">
        <w:t xml:space="preserve"> agree to fund </w:t>
      </w:r>
      <w:proofErr w:type="spellStart"/>
      <w:r w:rsidR="00F879D1">
        <w:t>Localis</w:t>
      </w:r>
      <w:proofErr w:type="spellEnd"/>
      <w:r w:rsidR="00F879D1">
        <w:t>’ Community Land Trust proposal</w:t>
      </w:r>
      <w:r w:rsidR="006C4319">
        <w:t>.</w:t>
      </w:r>
    </w:p>
    <w:p w14:paraId="2BDA80C6" w14:textId="77777777" w:rsidR="001F77A5" w:rsidRDefault="001F77A5" w:rsidP="00AE33E9">
      <w:pPr>
        <w:pStyle w:val="Heading2"/>
      </w:pPr>
      <w:r>
        <w:t>Contact details</w:t>
      </w:r>
    </w:p>
    <w:p w14:paraId="788AFFB2" w14:textId="76371E8C" w:rsidR="00B56823" w:rsidRDefault="00B56823" w:rsidP="00425C92">
      <w:pPr>
        <w:spacing w:before="0" w:after="120"/>
        <w:ind w:firstLine="0"/>
      </w:pPr>
      <w:r>
        <w:t xml:space="preserve">Contact officer: </w:t>
      </w:r>
      <w:r w:rsidR="00F879D1">
        <w:t>Rebecca Cox</w:t>
      </w:r>
    </w:p>
    <w:p w14:paraId="078052B8" w14:textId="70525DA5" w:rsidR="00B56823" w:rsidRDefault="00B56823" w:rsidP="00425C92">
      <w:pPr>
        <w:spacing w:before="0" w:after="120"/>
        <w:ind w:firstLine="0"/>
      </w:pPr>
      <w:r>
        <w:t>Position:</w:t>
      </w:r>
      <w:r w:rsidR="00F879D1">
        <w:t xml:space="preserve"> Principal Policy Adviser</w:t>
      </w:r>
    </w:p>
    <w:p w14:paraId="60F2047B" w14:textId="76CF5AE1" w:rsidR="00B56823" w:rsidRDefault="00B56823" w:rsidP="00425C92">
      <w:pPr>
        <w:spacing w:before="0" w:after="120"/>
        <w:ind w:firstLine="0"/>
      </w:pPr>
      <w:r>
        <w:t xml:space="preserve">Phone no: </w:t>
      </w:r>
      <w:r w:rsidR="00F879D1">
        <w:t>07921 604 237</w:t>
      </w:r>
      <w:r>
        <w:t xml:space="preserve"> </w:t>
      </w:r>
    </w:p>
    <w:p w14:paraId="3FA2BFE5" w14:textId="561877BE" w:rsidR="00B56823" w:rsidRDefault="00B56823" w:rsidP="00425C92">
      <w:pPr>
        <w:spacing w:before="0" w:after="120"/>
        <w:ind w:firstLine="0"/>
        <w:rPr>
          <w:rStyle w:val="Hyperlink"/>
        </w:rPr>
      </w:pPr>
      <w:r>
        <w:t>Email:</w:t>
      </w:r>
      <w:r>
        <w:tab/>
      </w:r>
      <w:hyperlink r:id="rId12" w:history="1">
        <w:r w:rsidR="00F879D1" w:rsidRPr="007C0C3D">
          <w:rPr>
            <w:rStyle w:val="Hyperlink"/>
          </w:rPr>
          <w:t>rebecca.cox@local.gov.uk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1F6D7ACC" w14:textId="177A59EC" w:rsidR="00447DCB" w:rsidRPr="00076282" w:rsidRDefault="00650EAD" w:rsidP="004748F8">
      <w:pPr>
        <w:pStyle w:val="Heading1"/>
        <w:rPr>
          <w:sz w:val="32"/>
          <w:szCs w:val="32"/>
        </w:rPr>
      </w:pPr>
      <w:r>
        <w:rPr>
          <w:sz w:val="32"/>
          <w:szCs w:val="32"/>
        </w:rPr>
        <w:t>Second homes</w:t>
      </w:r>
    </w:p>
    <w:p w14:paraId="6E96E455" w14:textId="77777777" w:rsidR="00076282" w:rsidRDefault="00076282" w:rsidP="00AE33E9">
      <w:pPr>
        <w:pStyle w:val="Heading2"/>
      </w:pPr>
    </w:p>
    <w:p w14:paraId="61A88C88" w14:textId="632C24B2" w:rsidR="00E81AC5" w:rsidRDefault="00E81AC5" w:rsidP="00AE33E9">
      <w:pPr>
        <w:pStyle w:val="Heading2"/>
      </w:pPr>
      <w:r w:rsidRPr="00AE33E9">
        <w:t>Background</w:t>
      </w:r>
      <w:r w:rsidR="00101F83">
        <w:t xml:space="preserve"> </w:t>
      </w:r>
      <w:r w:rsidR="00101F83" w:rsidRPr="009E5E45">
        <w:rPr>
          <w:color w:val="C00000"/>
        </w:rPr>
        <w:t xml:space="preserve"> </w:t>
      </w:r>
    </w:p>
    <w:p w14:paraId="22A4DAAE" w14:textId="2C7A47F7" w:rsidR="005C399A" w:rsidRDefault="005C399A" w:rsidP="00BA5321">
      <w:pPr>
        <w:pStyle w:val="ListParagraph"/>
        <w:numPr>
          <w:ilvl w:val="0"/>
          <w:numId w:val="10"/>
        </w:numPr>
      </w:pPr>
      <w:r>
        <w:t xml:space="preserve">Members have expressed an interest in understanding </w:t>
      </w:r>
      <w:r w:rsidR="00D6572E">
        <w:t xml:space="preserve">the LGA’s activity around second homes. This paper sets out some of the issues; updates Lead Members on current work; and </w:t>
      </w:r>
      <w:r w:rsidR="007E4650">
        <w:t xml:space="preserve">suggests </w:t>
      </w:r>
      <w:r w:rsidR="0079706E">
        <w:t xml:space="preserve">some options for additional work. </w:t>
      </w:r>
    </w:p>
    <w:p w14:paraId="127265B6" w14:textId="0B75009A" w:rsidR="00BA5321" w:rsidRDefault="00650EAD" w:rsidP="00BA5321">
      <w:pPr>
        <w:pStyle w:val="ListParagraph"/>
        <w:numPr>
          <w:ilvl w:val="0"/>
          <w:numId w:val="10"/>
        </w:numPr>
      </w:pPr>
      <w:r>
        <w:t>In the 2019 Board-commissioned report</w:t>
      </w:r>
      <w:r w:rsidR="001D31A4">
        <w:t xml:space="preserve"> </w:t>
      </w:r>
      <w:hyperlink r:id="rId13" w:history="1">
        <w:r w:rsidR="001D31A4" w:rsidRPr="007F6A7D">
          <w:rPr>
            <w:rStyle w:val="Hyperlink"/>
          </w:rPr>
          <w:t xml:space="preserve">‘Rural recognition, </w:t>
        </w:r>
        <w:r w:rsidR="00E03F31" w:rsidRPr="007F6A7D">
          <w:rPr>
            <w:rStyle w:val="Hyperlink"/>
          </w:rPr>
          <w:t xml:space="preserve">recovery, </w:t>
        </w:r>
        <w:r w:rsidR="001D31A4" w:rsidRPr="007F6A7D">
          <w:rPr>
            <w:rStyle w:val="Hyperlink"/>
          </w:rPr>
          <w:t xml:space="preserve">resilience, and </w:t>
        </w:r>
        <w:r w:rsidR="00E03F31" w:rsidRPr="007F6A7D">
          <w:rPr>
            <w:rStyle w:val="Hyperlink"/>
          </w:rPr>
          <w:t>revitalisation’</w:t>
        </w:r>
      </w:hyperlink>
      <w:r w:rsidR="00E03F31">
        <w:t xml:space="preserve"> </w:t>
      </w:r>
      <w:r w:rsidR="00A956F4">
        <w:t>found that “the</w:t>
      </w:r>
      <w:r w:rsidR="00C9439A">
        <w:t xml:space="preserve"> lack of good quality, affordable housing has long been an issue for rural and coastal authorities. Whilst the </w:t>
      </w:r>
      <w:r w:rsidR="007F3EE5">
        <w:t xml:space="preserve">increase in remote working and </w:t>
      </w:r>
      <w:r w:rsidR="00C9439A">
        <w:t xml:space="preserve">outward migration </w:t>
      </w:r>
      <w:r w:rsidR="007F3EE5">
        <w:t>from cities offers the opportunity to build more sustainable communities</w:t>
      </w:r>
      <w:r w:rsidR="003E2D47">
        <w:t>, it will also heap pressure onto an already squeezed housing market.”</w:t>
      </w:r>
      <w:r w:rsidR="007F6A7D">
        <w:t xml:space="preserve"> </w:t>
      </w:r>
    </w:p>
    <w:p w14:paraId="1139DB09" w14:textId="32FC00E0" w:rsidR="00623A13" w:rsidRDefault="00EA5F76" w:rsidP="00BA5321">
      <w:pPr>
        <w:pStyle w:val="ListParagraph"/>
        <w:numPr>
          <w:ilvl w:val="0"/>
          <w:numId w:val="10"/>
        </w:numPr>
      </w:pPr>
      <w:r>
        <w:t xml:space="preserve">In 2020, the English Housing Survey published a </w:t>
      </w:r>
      <w:hyperlink r:id="rId14" w:history="1">
        <w:r w:rsidRPr="004D5BED">
          <w:rPr>
            <w:rStyle w:val="Hyperlink"/>
          </w:rPr>
          <w:t>special factsheet on second homes</w:t>
        </w:r>
      </w:hyperlink>
      <w:r>
        <w:t xml:space="preserve">. </w:t>
      </w:r>
      <w:r w:rsidR="001F2371">
        <w:t xml:space="preserve">It </w:t>
      </w:r>
      <w:r w:rsidR="00B31A97">
        <w:t>found</w:t>
      </w:r>
      <w:r w:rsidR="001F2371">
        <w:t xml:space="preserve"> that in 2018</w:t>
      </w:r>
      <w:r w:rsidR="00B31A97">
        <w:t>/</w:t>
      </w:r>
      <w:r w:rsidR="001F2371">
        <w:t>19</w:t>
      </w:r>
      <w:r w:rsidR="00623A13">
        <w:t>:</w:t>
      </w:r>
      <w:r w:rsidR="001F2371">
        <w:t xml:space="preserve"> </w:t>
      </w:r>
    </w:p>
    <w:p w14:paraId="0306B8A6" w14:textId="67D76AF6" w:rsidR="00623A13" w:rsidRDefault="00623A13" w:rsidP="00623A13">
      <w:pPr>
        <w:pStyle w:val="ListParagraph"/>
        <w:numPr>
          <w:ilvl w:val="1"/>
          <w:numId w:val="10"/>
        </w:numPr>
      </w:pPr>
      <w:r>
        <w:t>Three</w:t>
      </w:r>
      <w:r w:rsidR="001F2371">
        <w:t xml:space="preserve"> per cent (2.4 million) of </w:t>
      </w:r>
      <w:proofErr w:type="gramStart"/>
      <w:r w:rsidR="001F2371">
        <w:t>households</w:t>
      </w:r>
      <w:proofErr w:type="gramEnd"/>
      <w:r w:rsidR="001F2371">
        <w:t xml:space="preserve"> report having a second home</w:t>
      </w:r>
      <w:r w:rsidR="00536657">
        <w:t xml:space="preserve"> – note that this includes homes outside the UK</w:t>
      </w:r>
      <w:r w:rsidR="001F2371">
        <w:t xml:space="preserve">. This </w:t>
      </w:r>
      <w:r w:rsidR="005C615D">
        <w:t>proportion</w:t>
      </w:r>
      <w:r w:rsidR="001F2371">
        <w:t xml:space="preserve"> was </w:t>
      </w:r>
      <w:r w:rsidR="00B31A97">
        <w:t>unchanged since 2008/09</w:t>
      </w:r>
      <w:r w:rsidR="005C615D">
        <w:t xml:space="preserve">, although the total number of </w:t>
      </w:r>
      <w:r w:rsidR="00116937">
        <w:t>second-home households increased from 572,000 to 772,000</w:t>
      </w:r>
      <w:r w:rsidR="00E27426">
        <w:t xml:space="preserve">. </w:t>
      </w:r>
    </w:p>
    <w:p w14:paraId="28D5F3F0" w14:textId="311FFFE7" w:rsidR="00623A13" w:rsidRDefault="008D476F" w:rsidP="00623A13">
      <w:pPr>
        <w:pStyle w:val="ListParagraph"/>
        <w:numPr>
          <w:ilvl w:val="1"/>
          <w:numId w:val="10"/>
        </w:numPr>
      </w:pPr>
      <w:r>
        <w:t xml:space="preserve">Thirty-nine per cent of households stated </w:t>
      </w:r>
      <w:r w:rsidR="00127D91">
        <w:t xml:space="preserve">their reason for a second home </w:t>
      </w:r>
      <w:r w:rsidR="00955328">
        <w:t xml:space="preserve">as </w:t>
      </w:r>
      <w:r w:rsidR="00127D91">
        <w:t xml:space="preserve">being holiday home or weekend cottage, and 35 per cent stated it was for long-term investment or income. </w:t>
      </w:r>
    </w:p>
    <w:p w14:paraId="5FD7800F" w14:textId="0AED76F9" w:rsidR="00EA5F76" w:rsidRDefault="005C636E" w:rsidP="00623A13">
      <w:pPr>
        <w:pStyle w:val="ListParagraph"/>
        <w:numPr>
          <w:ilvl w:val="1"/>
          <w:numId w:val="10"/>
        </w:numPr>
      </w:pPr>
      <w:r>
        <w:t>Half of all second homes</w:t>
      </w:r>
      <w:r w:rsidR="00610226">
        <w:t xml:space="preserve"> in England</w:t>
      </w:r>
      <w:r w:rsidR="00A818E1">
        <w:t xml:space="preserve"> </w:t>
      </w:r>
      <w:r>
        <w:t xml:space="preserve">are located in the </w:t>
      </w:r>
      <w:proofErr w:type="gramStart"/>
      <w:r w:rsidR="00A818E1">
        <w:t>South West</w:t>
      </w:r>
      <w:proofErr w:type="gramEnd"/>
      <w:r w:rsidR="00A818E1">
        <w:t xml:space="preserve"> (27 per cent), South East (14 per cent) and London (12 per cent)</w:t>
      </w:r>
      <w:r>
        <w:t>, with the remainder spread relatively evenly</w:t>
      </w:r>
      <w:r w:rsidR="004B2C77">
        <w:t xml:space="preserve"> across the rest of the country</w:t>
      </w:r>
      <w:r>
        <w:t>.</w:t>
      </w:r>
    </w:p>
    <w:p w14:paraId="07ECCCAE" w14:textId="4CDEEAC2" w:rsidR="003A4EEC" w:rsidRPr="00E56600" w:rsidRDefault="003A4EEC" w:rsidP="00F879D1">
      <w:pPr>
        <w:pStyle w:val="ListParagraph"/>
        <w:numPr>
          <w:ilvl w:val="0"/>
          <w:numId w:val="10"/>
        </w:numPr>
        <w:rPr>
          <w:rStyle w:val="Hyperlink"/>
          <w:color w:val="auto"/>
          <w:u w:val="none"/>
        </w:rPr>
      </w:pPr>
      <w:r>
        <w:t>Some data on second home ownership</w:t>
      </w:r>
      <w:r w:rsidR="00B47109">
        <w:t xml:space="preserve"> is available </w:t>
      </w:r>
      <w:r w:rsidR="00F35419">
        <w:t>through council tax records. In September 2021, the Office for National Statistics (ONS)</w:t>
      </w:r>
      <w:r w:rsidR="0013378E">
        <w:t xml:space="preserve"> </w:t>
      </w:r>
      <w:hyperlink r:id="rId15" w:history="1">
        <w:r w:rsidR="0013378E" w:rsidRPr="001E7F1E">
          <w:rPr>
            <w:rStyle w:val="Hyperlink"/>
          </w:rPr>
          <w:t>found that second home ownership is concentrated on ‘tourist</w:t>
        </w:r>
        <w:r w:rsidR="001E7F1E" w:rsidRPr="001E7F1E">
          <w:rPr>
            <w:rStyle w:val="Hyperlink"/>
          </w:rPr>
          <w:t xml:space="preserve"> hotspots.’</w:t>
        </w:r>
      </w:hyperlink>
    </w:p>
    <w:p w14:paraId="1EE1010D" w14:textId="15D972C3" w:rsidR="00E56600" w:rsidRDefault="00E56600" w:rsidP="00F879D1">
      <w:pPr>
        <w:pStyle w:val="ListParagraph"/>
        <w:numPr>
          <w:ilvl w:val="0"/>
          <w:numId w:val="10"/>
        </w:numPr>
      </w:pPr>
      <w:r>
        <w:t xml:space="preserve">Data on </w:t>
      </w:r>
      <w:r w:rsidR="00856E9E">
        <w:t>trends in short-term lets</w:t>
      </w:r>
      <w:r w:rsidR="005F7181">
        <w:t>, which may also be second homes,</w:t>
      </w:r>
      <w:r w:rsidR="00856E9E">
        <w:t xml:space="preserve"> and their impact on local housing markets is patchy. </w:t>
      </w:r>
      <w:r w:rsidR="008A0722">
        <w:t>Data from</w:t>
      </w:r>
      <w:r w:rsidR="0021560B">
        <w:t xml:space="preserve"> Sykes Holiday Cottages</w:t>
      </w:r>
      <w:r w:rsidR="008A0722">
        <w:t xml:space="preserve">’ annual </w:t>
      </w:r>
      <w:hyperlink r:id="rId16" w:history="1">
        <w:r w:rsidR="008A0722" w:rsidRPr="00425F7F">
          <w:rPr>
            <w:rStyle w:val="Hyperlink"/>
          </w:rPr>
          <w:t>Staycation Index in 2021</w:t>
        </w:r>
      </w:hyperlink>
      <w:r w:rsidR="0021560B">
        <w:t xml:space="preserve"> (cited in a </w:t>
      </w:r>
      <w:hyperlink r:id="rId17" w:history="1">
        <w:r w:rsidR="0021560B" w:rsidRPr="004E558F">
          <w:rPr>
            <w:rStyle w:val="Hyperlink"/>
          </w:rPr>
          <w:t>House of Commons library report</w:t>
        </w:r>
      </w:hyperlink>
      <w:r w:rsidR="0021560B">
        <w:t>)</w:t>
      </w:r>
      <w:r w:rsidR="00095E27">
        <w:t xml:space="preserve"> showed </w:t>
      </w:r>
      <w:r w:rsidR="00095E27">
        <w:t>the pandemic resulted in a significant increase in interest from second homeowners looking to list their properties as short</w:t>
      </w:r>
      <w:r w:rsidR="008A0722">
        <w:t>-</w:t>
      </w:r>
      <w:r w:rsidR="00095E27">
        <w:t>term holiday lets</w:t>
      </w:r>
      <w:r w:rsidR="00066576">
        <w:t>, with n</w:t>
      </w:r>
      <w:r w:rsidR="00095E27">
        <w:t>ew owner enquiries up 91</w:t>
      </w:r>
      <w:r w:rsidR="00095E27">
        <w:t xml:space="preserve"> per cent</w:t>
      </w:r>
      <w:r w:rsidR="00095E27">
        <w:t xml:space="preserve"> ahead of domestic travel reopening </w:t>
      </w:r>
      <w:r w:rsidR="004021A0">
        <w:t>in</w:t>
      </w:r>
      <w:r w:rsidR="00095E27">
        <w:t xml:space="preserve"> April 2021</w:t>
      </w:r>
      <w:r w:rsidR="00066576">
        <w:t xml:space="preserve">. </w:t>
      </w:r>
      <w:r w:rsidR="004021A0">
        <w:t xml:space="preserve">The 2022 Index doesn’t show comparable data, but </w:t>
      </w:r>
      <w:r w:rsidR="00BF770F">
        <w:t xml:space="preserve">points to a growing interest in staycations with bookings up 30 per cent compared to 2021 and </w:t>
      </w:r>
      <w:r w:rsidR="00AB022A">
        <w:t xml:space="preserve">up </w:t>
      </w:r>
      <w:r w:rsidR="00BF770F">
        <w:t xml:space="preserve">53 per cent </w:t>
      </w:r>
      <w:r w:rsidR="00AB022A">
        <w:t>from</w:t>
      </w:r>
      <w:r w:rsidR="00BF770F">
        <w:t xml:space="preserve"> 2019. </w:t>
      </w:r>
    </w:p>
    <w:p w14:paraId="5B254DDC" w14:textId="5BABFFBE" w:rsidR="00111FB8" w:rsidRDefault="00F80841" w:rsidP="00F879D1">
      <w:pPr>
        <w:pStyle w:val="ListParagraph"/>
        <w:numPr>
          <w:ilvl w:val="0"/>
          <w:numId w:val="10"/>
        </w:numPr>
      </w:pPr>
      <w:r>
        <w:t>Landlords and lettings organisations</w:t>
      </w:r>
      <w:r w:rsidR="00111FB8">
        <w:t xml:space="preserve"> such as the </w:t>
      </w:r>
      <w:r>
        <w:t xml:space="preserve">National Residential Landlords’ Association and ARLA </w:t>
      </w:r>
      <w:proofErr w:type="spellStart"/>
      <w:r>
        <w:t>Propertymark</w:t>
      </w:r>
      <w:proofErr w:type="spellEnd"/>
      <w:r w:rsidR="007D5D75">
        <w:t xml:space="preserve"> point to </w:t>
      </w:r>
      <w:hyperlink r:id="rId18" w:history="1">
        <w:r w:rsidR="007D5D75" w:rsidRPr="00B07107">
          <w:rPr>
            <w:rStyle w:val="Hyperlink"/>
          </w:rPr>
          <w:t>changes in taxation</w:t>
        </w:r>
      </w:hyperlink>
      <w:r w:rsidR="007D5D75">
        <w:t xml:space="preserve"> and </w:t>
      </w:r>
      <w:hyperlink r:id="rId19" w:history="1">
        <w:r w:rsidR="007D5D75" w:rsidRPr="00CA6D55">
          <w:rPr>
            <w:rStyle w:val="Hyperlink"/>
          </w:rPr>
          <w:t xml:space="preserve">greater </w:t>
        </w:r>
        <w:r w:rsidR="00CA6D55" w:rsidRPr="00CA6D55">
          <w:rPr>
            <w:rStyle w:val="Hyperlink"/>
          </w:rPr>
          <w:t xml:space="preserve">potential </w:t>
        </w:r>
        <w:r w:rsidR="007D5D75" w:rsidRPr="00CA6D55">
          <w:rPr>
            <w:rStyle w:val="Hyperlink"/>
          </w:rPr>
          <w:t>profits</w:t>
        </w:r>
      </w:hyperlink>
      <w:r w:rsidR="007D5D75">
        <w:t xml:space="preserve"> as reasons for landlords moving from longer-term to short-term lets. </w:t>
      </w:r>
      <w:r w:rsidR="00D37C6F">
        <w:t xml:space="preserve">As well as </w:t>
      </w:r>
      <w:r w:rsidR="00D37C6F">
        <w:lastRenderedPageBreak/>
        <w:t xml:space="preserve">housing pressures, issues raised in </w:t>
      </w:r>
      <w:r w:rsidR="0083394A">
        <w:t xml:space="preserve">relation to the rise of short-term </w:t>
      </w:r>
      <w:proofErr w:type="gramStart"/>
      <w:r w:rsidR="0083394A">
        <w:t>lets</w:t>
      </w:r>
      <w:proofErr w:type="gramEnd"/>
      <w:r w:rsidR="0083394A">
        <w:t xml:space="preserve"> include noise and nuisance, fire safety, </w:t>
      </w:r>
      <w:r w:rsidR="0094273B">
        <w:t>and the impact on the traditional accommodation providers.</w:t>
      </w:r>
    </w:p>
    <w:p w14:paraId="6D2727BE" w14:textId="00E5B8BD" w:rsidR="00F879D1" w:rsidRDefault="00F879D1" w:rsidP="00F879D1">
      <w:pPr>
        <w:pStyle w:val="ListParagraph"/>
        <w:numPr>
          <w:ilvl w:val="0"/>
          <w:numId w:val="10"/>
        </w:numPr>
      </w:pPr>
      <w:r>
        <w:t>Th</w:t>
      </w:r>
      <w:r w:rsidR="0032345B">
        <w:t>e</w:t>
      </w:r>
      <w:r>
        <w:t xml:space="preserve"> issue</w:t>
      </w:r>
      <w:r w:rsidR="0032345B">
        <w:t xml:space="preserve"> of second homes</w:t>
      </w:r>
      <w:r>
        <w:t xml:space="preserve"> has been raised by EEHT Board members in discussion about the wide-ranging pressures on local housing markets. The two </w:t>
      </w:r>
      <w:r w:rsidR="004D08FE">
        <w:t>current</w:t>
      </w:r>
      <w:r>
        <w:t xml:space="preserve"> areas of </w:t>
      </w:r>
      <w:r w:rsidR="004D08FE">
        <w:t xml:space="preserve">the LGA’s </w:t>
      </w:r>
      <w:r>
        <w:t xml:space="preserve">policy work concerning second homes and holiday lets are the Department for Culture, </w:t>
      </w:r>
      <w:proofErr w:type="gramStart"/>
      <w:r>
        <w:t>Media</w:t>
      </w:r>
      <w:proofErr w:type="gramEnd"/>
      <w:r>
        <w:t xml:space="preserve"> and Sport’s consultation on </w:t>
      </w:r>
      <w:r w:rsidR="00910C02">
        <w:t>developing a registration scheme for short-term lets</w:t>
      </w:r>
      <w:r>
        <w:t xml:space="preserve"> and influencing provisions in the Levelling Up and Regeneration Bill. </w:t>
      </w:r>
    </w:p>
    <w:p w14:paraId="100DCD8B" w14:textId="62838DE1" w:rsidR="00F879D1" w:rsidRDefault="00F879D1" w:rsidP="005F05EE">
      <w:pPr>
        <w:pStyle w:val="Heading2"/>
      </w:pPr>
      <w:r>
        <w:t>Levelling Up and Regeneration Bill</w:t>
      </w:r>
    </w:p>
    <w:p w14:paraId="55743917" w14:textId="785087F8" w:rsidR="00F879D1" w:rsidRDefault="005F05EE" w:rsidP="00F879D1">
      <w:pPr>
        <w:pStyle w:val="ListParagraph"/>
        <w:numPr>
          <w:ilvl w:val="0"/>
          <w:numId w:val="10"/>
        </w:numPr>
      </w:pPr>
      <w:r>
        <w:t>T</w:t>
      </w:r>
      <w:r w:rsidR="00F879D1">
        <w:t xml:space="preserve">he LGA is supporting clauses 75 and 76 of the Levelling Up and Regeneration Bill, which give councils more power to charge premium council tax for long term empty and second homes as we consider that this will give councils more power to influence local housing markets. Our most recent briefing on the Bill can be found </w:t>
      </w:r>
      <w:hyperlink r:id="rId20" w:anchor="amendments-relating-to-holiday-lets-and-second-homes" w:history="1">
        <w:r w:rsidR="00F879D1">
          <w:rPr>
            <w:rStyle w:val="Hyperlink"/>
          </w:rPr>
          <w:t>here</w:t>
        </w:r>
      </w:hyperlink>
      <w:r w:rsidR="00F879D1">
        <w:t>.</w:t>
      </w:r>
    </w:p>
    <w:p w14:paraId="49A34111" w14:textId="17213A51" w:rsidR="00F879D1" w:rsidRDefault="00F879D1" w:rsidP="00F879D1">
      <w:pPr>
        <w:pStyle w:val="ListParagraph"/>
        <w:numPr>
          <w:ilvl w:val="0"/>
          <w:numId w:val="10"/>
        </w:numPr>
      </w:pPr>
      <w:r>
        <w:t>We are also supporting two amendments that have been tabled by Peers for Committee stage in the Lords which is currently underway. This would create a new use class for second homes and a new use class for holiday rentals. Again, we are supporting these measures because as well as giving local authorities greater powers to shape local housing markets, they will also strengthen local oversight of changes in accommodation in an area. </w:t>
      </w:r>
    </w:p>
    <w:p w14:paraId="112DD408" w14:textId="3EACE3FB" w:rsidR="00F879D1" w:rsidRDefault="00F879D1" w:rsidP="00F879D1">
      <w:pPr>
        <w:pStyle w:val="ListParagraph"/>
        <w:numPr>
          <w:ilvl w:val="0"/>
          <w:numId w:val="10"/>
        </w:numPr>
      </w:pPr>
      <w:r>
        <w:t>We also supported amendments tabled in the Commons stage which would raise the maximum level at which local authorities can set council tax on dwellings occupied periodically (second homes) from 100 per cent to 300 per cent, but unfortunately this did not make it through into the Bill. We will continue to lobby for increased council discretionary powers on second homes. We also supported another amendment in the Commons that would reduce the notice period to implement the new rate for council tax for second homes from one year to six month</w:t>
      </w:r>
      <w:r w:rsidR="006856BC">
        <w:t>s</w:t>
      </w:r>
      <w:r>
        <w:t>, as councils had said they would like a lower period of notice, but unfortunately this also did not make it through into the Bill.</w:t>
      </w:r>
    </w:p>
    <w:p w14:paraId="262BF519" w14:textId="77777777" w:rsidR="00F879D1" w:rsidRPr="00F879D1" w:rsidRDefault="00F879D1" w:rsidP="00F879D1">
      <w:pPr>
        <w:pStyle w:val="ListParagraph"/>
        <w:numPr>
          <w:ilvl w:val="0"/>
          <w:numId w:val="10"/>
        </w:numPr>
      </w:pPr>
      <w:r w:rsidRPr="00F879D1">
        <w:t xml:space="preserve">We are also briefing on amendments being put forward on Clause 76 in the Lords Committee stage, including one to drop the </w:t>
      </w:r>
      <w:proofErr w:type="gramStart"/>
      <w:r w:rsidRPr="00F879D1">
        <w:t>one year</w:t>
      </w:r>
      <w:proofErr w:type="gramEnd"/>
      <w:r w:rsidRPr="00F879D1">
        <w:t xml:space="preserve"> lead in for the implementation of a new rate for council tax for second homes.</w:t>
      </w:r>
    </w:p>
    <w:p w14:paraId="0A592A06" w14:textId="4B5241D1" w:rsidR="009A0899" w:rsidRDefault="009A0899" w:rsidP="009A0899">
      <w:pPr>
        <w:pStyle w:val="Heading2"/>
      </w:pPr>
      <w:r>
        <w:t>Short term lets consultation</w:t>
      </w:r>
    </w:p>
    <w:p w14:paraId="709D762F" w14:textId="6DE85B70" w:rsidR="00DD7F51" w:rsidRPr="00DD7F51" w:rsidRDefault="007A1E74" w:rsidP="00DD7F51">
      <w:pPr>
        <w:pStyle w:val="ListParagraph"/>
        <w:numPr>
          <w:ilvl w:val="0"/>
          <w:numId w:val="10"/>
        </w:numPr>
      </w:pPr>
      <w:r>
        <w:t xml:space="preserve">Led by the </w:t>
      </w:r>
      <w:r w:rsidR="00D34ACB">
        <w:t>Culture, Tourism and Sport Board the LGA has engaged in DCMS’s consultation</w:t>
      </w:r>
      <w:r w:rsidR="0024715D">
        <w:t xml:space="preserve"> on the regulation of short term lets</w:t>
      </w:r>
      <w:r w:rsidR="00F54AF3">
        <w:t>, which was published in summer 2022</w:t>
      </w:r>
      <w:r w:rsidR="0024715D">
        <w:t>. While not all short term lets are second homes</w:t>
      </w:r>
      <w:r w:rsidR="00455379">
        <w:t xml:space="preserve"> and accurate data on this sector is difficult to obtain</w:t>
      </w:r>
      <w:r w:rsidR="00AF274D">
        <w:t xml:space="preserve">, the </w:t>
      </w:r>
      <w:hyperlink r:id="rId21" w:anchor="background" w:history="1">
        <w:r w:rsidR="00AF274D" w:rsidRPr="006274C0">
          <w:rPr>
            <w:rStyle w:val="Hyperlink"/>
          </w:rPr>
          <w:t>Government’s background to the consultation</w:t>
        </w:r>
      </w:hyperlink>
      <w:r w:rsidR="00AF274D">
        <w:t xml:space="preserve"> </w:t>
      </w:r>
      <w:r w:rsidR="00DD7F51">
        <w:t>confirms that the expansion of short term and holiday letting has had “[n]</w:t>
      </w:r>
      <w:proofErr w:type="spellStart"/>
      <w:r w:rsidR="00DD7F51" w:rsidRPr="00DD7F51">
        <w:t>egative</w:t>
      </w:r>
      <w:proofErr w:type="spellEnd"/>
      <w:r w:rsidR="00DD7F51" w:rsidRPr="00DD7F51">
        <w:t xml:space="preserve"> housing </w:t>
      </w:r>
      <w:r w:rsidR="00DD7F51">
        <w:t>…</w:t>
      </w:r>
      <w:r w:rsidR="00DD7F51" w:rsidRPr="00DD7F51">
        <w:t xml:space="preserve"> impacts, such as the impact on housing supply</w:t>
      </w:r>
      <w:r w:rsidR="00DD7F51">
        <w:t>…</w:t>
      </w:r>
      <w:r w:rsidR="008E2EC3">
        <w:t>and that [</w:t>
      </w:r>
      <w:proofErr w:type="spellStart"/>
      <w:r w:rsidR="008E2EC3">
        <w:t>i</w:t>
      </w:r>
      <w:proofErr w:type="spellEnd"/>
      <w:r w:rsidR="008E2EC3">
        <w:t>]</w:t>
      </w:r>
      <w:r w:rsidR="008E2EC3" w:rsidRPr="008E2EC3">
        <w:t xml:space="preserve">t is possible </w:t>
      </w:r>
      <w:r w:rsidR="008E2EC3">
        <w:t>…</w:t>
      </w:r>
      <w:r w:rsidR="008E2EC3" w:rsidRPr="008E2EC3">
        <w:t xml:space="preserve"> that housing supply is more adversely affected in tourist ‘honeypots’ in rural or coastal areas.</w:t>
      </w:r>
      <w:r w:rsidR="008E2EC3">
        <w:t>”</w:t>
      </w:r>
      <w:r w:rsidR="008E2EC3" w:rsidRPr="008E2EC3">
        <w:t> </w:t>
      </w:r>
      <w:r w:rsidR="00F54AF3">
        <w:t xml:space="preserve">For this </w:t>
      </w:r>
      <w:proofErr w:type="gramStart"/>
      <w:r w:rsidR="00F54AF3">
        <w:t>reason</w:t>
      </w:r>
      <w:proofErr w:type="gramEnd"/>
      <w:r w:rsidR="00F54AF3">
        <w:t xml:space="preserve"> </w:t>
      </w:r>
      <w:r w:rsidR="00AE2A6E">
        <w:t>it has been included alongside the wider issue of second homes for this paper.</w:t>
      </w:r>
    </w:p>
    <w:p w14:paraId="51718070" w14:textId="393125D8" w:rsidR="009A0899" w:rsidRDefault="00000000" w:rsidP="009A0899">
      <w:pPr>
        <w:pStyle w:val="ListParagraph"/>
        <w:numPr>
          <w:ilvl w:val="0"/>
          <w:numId w:val="10"/>
        </w:numPr>
      </w:pPr>
      <w:hyperlink r:id="rId22" w:history="1">
        <w:r w:rsidR="004F7DB3" w:rsidRPr="004F7DB3">
          <w:rPr>
            <w:rStyle w:val="Hyperlink"/>
          </w:rPr>
          <w:t>The LGA’s</w:t>
        </w:r>
        <w:r w:rsidR="00CC2C9E" w:rsidRPr="004F7DB3">
          <w:rPr>
            <w:rStyle w:val="Hyperlink"/>
          </w:rPr>
          <w:t xml:space="preserve"> response to th</w:t>
        </w:r>
        <w:r w:rsidR="00AE2A6E" w:rsidRPr="004F7DB3">
          <w:rPr>
            <w:rStyle w:val="Hyperlink"/>
          </w:rPr>
          <w:t>e consultation</w:t>
        </w:r>
      </w:hyperlink>
      <w:r w:rsidR="008330B7">
        <w:t xml:space="preserve"> highlighted the following issues:</w:t>
      </w:r>
    </w:p>
    <w:p w14:paraId="5005F7F0" w14:textId="7544E668" w:rsidR="0005065C" w:rsidRDefault="0005065C" w:rsidP="0005065C">
      <w:pPr>
        <w:pStyle w:val="ListParagraph"/>
        <w:numPr>
          <w:ilvl w:val="1"/>
          <w:numId w:val="10"/>
        </w:numPr>
      </w:pPr>
      <w:r>
        <w:lastRenderedPageBreak/>
        <w:t>Local government has been raising concerns about the impact of unregulated growth in this sector for some time. We welcome Government’s exploration of the issue and urge Government to take meaningful action to rebalance the impacts of this growth industry.</w:t>
      </w:r>
    </w:p>
    <w:p w14:paraId="418606F2" w14:textId="3C374217" w:rsidR="0005065C" w:rsidRDefault="0005065C" w:rsidP="00F66F8F">
      <w:pPr>
        <w:pStyle w:val="ListParagraph"/>
        <w:numPr>
          <w:ilvl w:val="1"/>
          <w:numId w:val="10"/>
        </w:numPr>
      </w:pPr>
      <w:r>
        <w:t xml:space="preserve">It is a national issue, with the impacts of short-term letting found across the country. However, it is not an issue in every council area, with some councils seeing little growth and others reporting growth of between 30-52 per cent in short-term lets. Our members report particular challenges in visitor ‘honeypots’ destinations such as coastal areas, particularly in the </w:t>
      </w:r>
      <w:proofErr w:type="gramStart"/>
      <w:r>
        <w:t>South West</w:t>
      </w:r>
      <w:proofErr w:type="gramEnd"/>
      <w:r>
        <w:t xml:space="preserve"> and East of England, as well as in core and key cities.</w:t>
      </w:r>
    </w:p>
    <w:p w14:paraId="24DE1DF3" w14:textId="483CD7B3" w:rsidR="0005065C" w:rsidRDefault="0005065C" w:rsidP="00F66F8F">
      <w:pPr>
        <w:pStyle w:val="ListParagraph"/>
        <w:numPr>
          <w:ilvl w:val="1"/>
          <w:numId w:val="10"/>
        </w:numPr>
      </w:pPr>
      <w:r>
        <w:t xml:space="preserve">We believe this indicates the need for regulation that allows local discretion and implementation, ensuring that the response is proportionate for those places without significant challenges while also enabling those places with significant impact on their communities to </w:t>
      </w:r>
      <w:proofErr w:type="gramStart"/>
      <w:r>
        <w:t>take action</w:t>
      </w:r>
      <w:proofErr w:type="gramEnd"/>
      <w:r>
        <w:t>.</w:t>
      </w:r>
    </w:p>
    <w:p w14:paraId="782FCB64" w14:textId="585BFFAE" w:rsidR="0005065C" w:rsidRDefault="0005065C" w:rsidP="0005065C">
      <w:pPr>
        <w:pStyle w:val="ListParagraph"/>
        <w:numPr>
          <w:ilvl w:val="1"/>
          <w:numId w:val="10"/>
        </w:numPr>
      </w:pPr>
      <w:r>
        <w:t>Members have also indicated that it is important to not discourage those lets which provide flexibility to people who only occasionally let a spare room. This suggests a tiered approach based on risk and impact of the short-term let, avoiding the need for excessive bureaucracy or red tape that will unfairly hold back smaller businesses.</w:t>
      </w:r>
    </w:p>
    <w:p w14:paraId="5C6C985E" w14:textId="52C375DC" w:rsidR="00372F6B" w:rsidRDefault="00C65A1B" w:rsidP="0005065C">
      <w:pPr>
        <w:pStyle w:val="ListParagraph"/>
        <w:numPr>
          <w:ilvl w:val="1"/>
          <w:numId w:val="10"/>
        </w:numPr>
      </w:pPr>
      <w:r>
        <w:t xml:space="preserve">The response concluded by </w:t>
      </w:r>
      <w:r w:rsidRPr="00C65A1B">
        <w:t>recommend</w:t>
      </w:r>
      <w:r>
        <w:t>ing</w:t>
      </w:r>
      <w:r w:rsidRPr="00C65A1B">
        <w:t xml:space="preserve"> that a universal registration scheme (Option 4) should be implemented, with local councils having the discretion to introduce a licensing scheme (Option 5). This will have the maximum benefit for communities and allow councils to unlock the growth potential of the whole visitor economy in a sustainable way. </w:t>
      </w:r>
    </w:p>
    <w:p w14:paraId="622D04B2" w14:textId="5E8F6610" w:rsidR="00C91B42" w:rsidRDefault="002F7B71" w:rsidP="00C91B42">
      <w:pPr>
        <w:pStyle w:val="ListParagraph"/>
        <w:numPr>
          <w:ilvl w:val="0"/>
          <w:numId w:val="10"/>
        </w:numPr>
      </w:pPr>
      <w:r>
        <w:t xml:space="preserve">Following the most recent reshuffle, </w:t>
      </w:r>
      <w:r w:rsidR="00605196">
        <w:t xml:space="preserve">DCMS has </w:t>
      </w:r>
      <w:r w:rsidR="0009168B">
        <w:t xml:space="preserve">now confirmed </w:t>
      </w:r>
      <w:r w:rsidR="0018163F">
        <w:t xml:space="preserve">Julia Lopez MP will take on </w:t>
      </w:r>
      <w:r w:rsidR="009433BF">
        <w:t>responsibility for</w:t>
      </w:r>
      <w:r w:rsidR="0018163F">
        <w:t xml:space="preserve"> tourism at DCMS</w:t>
      </w:r>
      <w:r w:rsidR="006B41CB">
        <w:t xml:space="preserve">. </w:t>
      </w:r>
      <w:r w:rsidR="00DE0EF3">
        <w:t>LGA o</w:t>
      </w:r>
      <w:r w:rsidR="006B41CB">
        <w:t xml:space="preserve">fficers have been invited to a roundtable on </w:t>
      </w:r>
      <w:r w:rsidR="00DE0EF3">
        <w:t xml:space="preserve">the short term lets consultation and will feed back to the Board on the discussion. </w:t>
      </w:r>
      <w:r w:rsidR="0077205E">
        <w:t>The LGA will also be sending a</w:t>
      </w:r>
      <w:r w:rsidR="00C5141C">
        <w:t>n introductory</w:t>
      </w:r>
      <w:r w:rsidR="0077205E">
        <w:t xml:space="preserve"> letter to the Minister</w:t>
      </w:r>
      <w:r w:rsidR="00C5141C">
        <w:t xml:space="preserve">, including our lines on short term lets. </w:t>
      </w:r>
    </w:p>
    <w:p w14:paraId="483C9728" w14:textId="031C31B4" w:rsidR="00C91B42" w:rsidRPr="002422C3" w:rsidRDefault="00DE663C" w:rsidP="00C91B42">
      <w:pPr>
        <w:pStyle w:val="Heading2"/>
        <w:rPr>
          <w:color w:val="auto"/>
        </w:rPr>
      </w:pPr>
      <w:r>
        <w:rPr>
          <w:color w:val="auto"/>
        </w:rPr>
        <w:t>Proposal for next steps</w:t>
      </w:r>
      <w:r w:rsidR="00C91B42" w:rsidRPr="002422C3">
        <w:rPr>
          <w:color w:val="auto"/>
        </w:rPr>
        <w:t xml:space="preserve"> </w:t>
      </w:r>
    </w:p>
    <w:p w14:paraId="7FBE078F" w14:textId="01FB7DAA" w:rsidR="00C91B42" w:rsidRDefault="00815CCE" w:rsidP="004026C3">
      <w:pPr>
        <w:pStyle w:val="ListParagraph"/>
        <w:numPr>
          <w:ilvl w:val="0"/>
          <w:numId w:val="10"/>
        </w:numPr>
      </w:pPr>
      <w:r>
        <w:t xml:space="preserve">The EEHT, finance, and public affairs teams will continue to </w:t>
      </w:r>
      <w:r w:rsidR="00B22BB1">
        <w:t xml:space="preserve">support elements of the Levelling Up and Regeneration Bill that will strengthen local </w:t>
      </w:r>
      <w:r w:rsidR="005A3ECB">
        <w:t>authorities’</w:t>
      </w:r>
      <w:r w:rsidR="00B22BB1">
        <w:t xml:space="preserve"> ability</w:t>
      </w:r>
      <w:r w:rsidR="005A3ECB">
        <w:t xml:space="preserve"> </w:t>
      </w:r>
      <w:r w:rsidR="00975869">
        <w:t xml:space="preserve">to shape local housing markets. In </w:t>
      </w:r>
      <w:r w:rsidR="00617ADF">
        <w:t>due course the CTS team will consider Government’s findings from its short term lets consultation and respond appropriately.</w:t>
      </w:r>
      <w:r w:rsidR="002B529D">
        <w:t xml:space="preserve"> Comments from Board members to inform this work would be very welcome. </w:t>
      </w:r>
    </w:p>
    <w:p w14:paraId="5AEE3AAC" w14:textId="411B8D2F" w:rsidR="00617ADF" w:rsidRDefault="0018025D" w:rsidP="004026C3">
      <w:pPr>
        <w:pStyle w:val="ListParagraph"/>
        <w:numPr>
          <w:ilvl w:val="0"/>
          <w:numId w:val="10"/>
        </w:numPr>
      </w:pPr>
      <w:r>
        <w:t>Board</w:t>
      </w:r>
      <w:r w:rsidR="00CC4849">
        <w:t xml:space="preserve"> members may wish to consider whether </w:t>
      </w:r>
      <w:r w:rsidR="00A45341">
        <w:t xml:space="preserve">they consider sufficient data on second homes to be available, and whether </w:t>
      </w:r>
      <w:r w:rsidR="00CC4849">
        <w:t xml:space="preserve">the LGA </w:t>
      </w:r>
      <w:r w:rsidR="00521AF0">
        <w:t>should press for an update</w:t>
      </w:r>
      <w:r w:rsidR="00AB6A66">
        <w:t xml:space="preserve">d report from the English </w:t>
      </w:r>
      <w:r w:rsidR="00B47181">
        <w:t>Housing</w:t>
      </w:r>
      <w:r w:rsidR="00AB6A66">
        <w:t xml:space="preserve"> Survey </w:t>
      </w:r>
      <w:r w:rsidR="00B47181">
        <w:t>to give a better national picture</w:t>
      </w:r>
      <w:r w:rsidR="00FF3EAB">
        <w:t>.</w:t>
      </w:r>
      <w:r w:rsidR="0063161A">
        <w:t xml:space="preserve"> Taken together with the policy work outlined above, this would give the</w:t>
      </w:r>
      <w:r w:rsidR="009B7F7E">
        <w:t xml:space="preserve"> LGA some clear proposals for </w:t>
      </w:r>
      <w:r w:rsidR="00C60EC5">
        <w:t>greater powers and flexibilities to respond to local housing need</w:t>
      </w:r>
      <w:r w:rsidR="003378ED">
        <w:t xml:space="preserve">, without the need for significant extra policy resource. </w:t>
      </w:r>
    </w:p>
    <w:p w14:paraId="4A4E08BC" w14:textId="39CF13E5" w:rsidR="00FF3EAB" w:rsidRDefault="00AC2ACE" w:rsidP="004026C3">
      <w:pPr>
        <w:pStyle w:val="ListParagraph"/>
        <w:numPr>
          <w:ilvl w:val="0"/>
          <w:numId w:val="10"/>
        </w:numPr>
      </w:pPr>
      <w:r>
        <w:lastRenderedPageBreak/>
        <w:t xml:space="preserve">The LGA has also been approached by the local government think tank, </w:t>
      </w:r>
      <w:proofErr w:type="spellStart"/>
      <w:r>
        <w:t>Localis</w:t>
      </w:r>
      <w:proofErr w:type="spellEnd"/>
      <w:r>
        <w:t xml:space="preserve">, with a proposal </w:t>
      </w:r>
      <w:r w:rsidR="00C85990">
        <w:t>for a project on Community Land Trusts</w:t>
      </w:r>
      <w:r w:rsidR="009D61D2">
        <w:t xml:space="preserve"> (CLTs)</w:t>
      </w:r>
      <w:r w:rsidR="00C85990">
        <w:t xml:space="preserve">. </w:t>
      </w:r>
      <w:r w:rsidR="00E7747A">
        <w:t xml:space="preserve">The proposal, which is appended to this paper, </w:t>
      </w:r>
      <w:r w:rsidR="009D61D2">
        <w:t>explores the opportunities provided by CLTs as one way of address</w:t>
      </w:r>
      <w:r w:rsidR="00B53CD9">
        <w:t>ing</w:t>
      </w:r>
      <w:r w:rsidR="009D61D2">
        <w:t xml:space="preserve"> the pressures </w:t>
      </w:r>
      <w:r w:rsidR="00BE75B3">
        <w:t>on housing markets in rural tourist hot spots</w:t>
      </w:r>
      <w:r w:rsidR="002279B5">
        <w:t>:</w:t>
      </w:r>
    </w:p>
    <w:p w14:paraId="35827F0D" w14:textId="77777777" w:rsidR="00BE75B3" w:rsidRPr="00BE75B3" w:rsidRDefault="00BE75B3" w:rsidP="00BE75B3">
      <w:pPr>
        <w:pStyle w:val="ListParagraph"/>
        <w:numPr>
          <w:ilvl w:val="1"/>
          <w:numId w:val="10"/>
        </w:numPr>
        <w:rPr>
          <w:rFonts w:asciiTheme="minorHAnsi" w:hAnsiTheme="minorHAnsi"/>
        </w:rPr>
      </w:pPr>
      <w:r>
        <w:t xml:space="preserve">Community Land Trusts (CLTs) are emerging in many </w:t>
      </w:r>
      <w:proofErr w:type="gramStart"/>
      <w:r>
        <w:t>tourist</w:t>
      </w:r>
      <w:proofErr w:type="gramEnd"/>
      <w:r>
        <w:t xml:space="preserve"> hot spots in an attempt to deliver more homes of social rent and have proved a popular way of building homes in sensitive areas of natural beauty.  Many have been developed in association with housing associations. Typically, the CLT discovers the site, conducts feasibility </w:t>
      </w:r>
      <w:proofErr w:type="gramStart"/>
      <w:r>
        <w:t>studies</w:t>
      </w:r>
      <w:proofErr w:type="gramEnd"/>
      <w:r>
        <w:t xml:space="preserve"> and gains community consent while the housing association finances, builds and manages the homes. However, the land is owned by the CLT in perpetuity and in many cases the assets and ground rents are used to fund social infrastructure projects on behalf of the community.</w:t>
      </w:r>
    </w:p>
    <w:p w14:paraId="56F88CD1" w14:textId="77777777" w:rsidR="000344BE" w:rsidRPr="000344BE" w:rsidRDefault="000344BE" w:rsidP="000344BE">
      <w:pPr>
        <w:pStyle w:val="ListParagraph"/>
        <w:numPr>
          <w:ilvl w:val="1"/>
          <w:numId w:val="10"/>
        </w:numPr>
        <w:rPr>
          <w:rFonts w:asciiTheme="minorHAnsi" w:hAnsiTheme="minorHAnsi"/>
        </w:rPr>
      </w:pPr>
      <w:r w:rsidRPr="000344BE">
        <w:rPr>
          <w:b/>
          <w:bCs/>
        </w:rPr>
        <w:t>Brightness on the Edge of Town</w:t>
      </w:r>
      <w:r>
        <w:t xml:space="preserve"> will be an original research project, aimed at developing a policy narrative to outline the place of Community Land Trusts in the current political debate, elucidate the parameters for action and highlight possible pathways to overcoming the barriers listed above. The final output will be a report and other published materials aiming to bring attention to housing issues in tourist hotspots and provide a persuasive political case for CLTs as a means of addressing them, alongside a succinct analysis of possible policy pathways. </w:t>
      </w:r>
    </w:p>
    <w:p w14:paraId="400155B7" w14:textId="05C4FF33" w:rsidR="00BE75B3" w:rsidRDefault="00F17700" w:rsidP="00556F71">
      <w:pPr>
        <w:pStyle w:val="ListParagraph"/>
        <w:numPr>
          <w:ilvl w:val="0"/>
          <w:numId w:val="10"/>
        </w:numPr>
      </w:pPr>
      <w:r>
        <w:t>The LGA has a positive view of CLTs</w:t>
      </w:r>
      <w:r w:rsidR="00BC46FD">
        <w:t xml:space="preserve"> and features </w:t>
      </w:r>
      <w:hyperlink r:id="rId23" w:history="1">
        <w:r w:rsidR="00BC46FD" w:rsidRPr="001C5EEA">
          <w:rPr>
            <w:rStyle w:val="Hyperlink"/>
          </w:rPr>
          <w:t>a number of case studies</w:t>
        </w:r>
      </w:hyperlink>
      <w:r w:rsidR="00BC46FD">
        <w:t xml:space="preserve"> on its website</w:t>
      </w:r>
      <w:r w:rsidR="001C5EEA">
        <w:t xml:space="preserve">, but </w:t>
      </w:r>
      <w:r w:rsidR="00556F71">
        <w:t xml:space="preserve">to date </w:t>
      </w:r>
      <w:r w:rsidR="001C5EEA">
        <w:t xml:space="preserve">has not published much </w:t>
      </w:r>
      <w:r w:rsidR="00FC358A">
        <w:t xml:space="preserve">detail or advice for councils interested in this approach. EEHT officers are supportive of the Board undertaking </w:t>
      </w:r>
      <w:r w:rsidR="00556F71">
        <w:t xml:space="preserve">work in this area, should Lead Members agree. </w:t>
      </w:r>
      <w:r w:rsidR="007451DF">
        <w:t>The proposal included with this paper is a first draft and we would want to shape it in line with members’ views</w:t>
      </w:r>
      <w:r w:rsidR="00CC4C24">
        <w:t xml:space="preserve"> to ensure the focus, scope, and future use of the work</w:t>
      </w:r>
      <w:r w:rsidR="005A2694">
        <w:t xml:space="preserve"> are the best fit with the Boards’ priorities. </w:t>
      </w:r>
    </w:p>
    <w:p w14:paraId="4F5EC9AD" w14:textId="2EDC3888" w:rsidR="00E81AC5" w:rsidRPr="002422C3" w:rsidRDefault="00E81AC5" w:rsidP="00AE33E9">
      <w:pPr>
        <w:pStyle w:val="Heading2"/>
        <w:rPr>
          <w:color w:val="auto"/>
        </w:rPr>
      </w:pPr>
      <w:r w:rsidRPr="002422C3">
        <w:rPr>
          <w:color w:val="auto"/>
        </w:rPr>
        <w:t>Implications for Wales</w:t>
      </w:r>
      <w:r w:rsidR="00B10AD7" w:rsidRPr="002422C3">
        <w:rPr>
          <w:color w:val="auto"/>
        </w:rPr>
        <w:t xml:space="preserve"> </w:t>
      </w:r>
    </w:p>
    <w:p w14:paraId="2FE21013" w14:textId="77777777" w:rsidR="00CE5FE0" w:rsidRDefault="00D12825" w:rsidP="00803F83">
      <w:pPr>
        <w:pStyle w:val="ListParagraph"/>
        <w:numPr>
          <w:ilvl w:val="0"/>
          <w:numId w:val="10"/>
        </w:numPr>
      </w:pPr>
      <w:r w:rsidRPr="00D12825">
        <w:t>Second homes are</w:t>
      </w:r>
      <w:r>
        <w:t xml:space="preserve"> also an important issue in Wales</w:t>
      </w:r>
      <w:r w:rsidR="0069703A">
        <w:t xml:space="preserve">, with </w:t>
      </w:r>
      <w:r w:rsidR="004C67EE">
        <w:t xml:space="preserve">a </w:t>
      </w:r>
      <w:hyperlink r:id="rId24" w:anchor=":~:text=How%20many%20second%20homes%20are,Wales%20as%20of%20January%202022." w:history="1">
        <w:r w:rsidR="004C67EE" w:rsidRPr="004C67EE">
          <w:rPr>
            <w:rStyle w:val="Hyperlink"/>
          </w:rPr>
          <w:t>number of new measures</w:t>
        </w:r>
      </w:hyperlink>
      <w:r w:rsidR="004C67EE">
        <w:t xml:space="preserve"> introduced jointly by the First Minister and the Leader Plaid Cymru. These include</w:t>
      </w:r>
      <w:r w:rsidR="001946D8">
        <w:t xml:space="preserve"> the </w:t>
      </w:r>
      <w:r w:rsidR="001946D8" w:rsidRPr="001946D8">
        <w:t>introduction of new use classes to better differentiate between primary and secondary homes and short-term lets</w:t>
      </w:r>
      <w:r w:rsidR="00F72E14">
        <w:t>;</w:t>
      </w:r>
      <w:r w:rsidR="001946D8" w:rsidRPr="001946D8">
        <w:t xml:space="preserve"> plans to develop a new statutory licensing scheme for all visitor accommodation and to allow councils greater powers over tax rates and second home numbers.</w:t>
      </w:r>
      <w:r w:rsidR="00CE5FE0">
        <w:t xml:space="preserve"> </w:t>
      </w:r>
    </w:p>
    <w:p w14:paraId="39157FDC" w14:textId="252AD637" w:rsidR="00803F83" w:rsidRDefault="00CE5FE0" w:rsidP="00803F83">
      <w:pPr>
        <w:pStyle w:val="ListParagraph"/>
        <w:numPr>
          <w:ilvl w:val="0"/>
          <w:numId w:val="10"/>
        </w:numPr>
      </w:pPr>
      <w:r w:rsidRPr="00CE5FE0">
        <w:t>The Welsh Government</w:t>
      </w:r>
      <w:r w:rsidR="00CD0C85">
        <w:t xml:space="preserve"> also</w:t>
      </w:r>
      <w:r w:rsidRPr="00CE5FE0">
        <w:t xml:space="preserve"> announced new legislative measures in March 2022, focusing on tax. From April 2023, local councils will be able to raise the maximum council tax premium on second homes to 300</w:t>
      </w:r>
      <w:r w:rsidR="00CD0C85">
        <w:t xml:space="preserve"> per cent</w:t>
      </w:r>
      <w:r w:rsidRPr="00CE5FE0">
        <w:t xml:space="preserve"> (up from the 100</w:t>
      </w:r>
      <w:r w:rsidR="00CD0C85">
        <w:t xml:space="preserve"> per cent</w:t>
      </w:r>
      <w:r w:rsidRPr="00CE5FE0">
        <w:t xml:space="preserve"> limit set in 2017). In addition, new regulations have been set in place to increase the number of days that self-catering accommodation must be let to qualify for business rates.</w:t>
      </w:r>
    </w:p>
    <w:p w14:paraId="620873C4" w14:textId="5A46DAE0" w:rsidR="00F72E14" w:rsidRPr="00D12825" w:rsidRDefault="00F72E14" w:rsidP="00803F83">
      <w:pPr>
        <w:pStyle w:val="ListParagraph"/>
        <w:numPr>
          <w:ilvl w:val="0"/>
          <w:numId w:val="10"/>
        </w:numPr>
      </w:pPr>
      <w:r>
        <w:t xml:space="preserve">Should we proceed with work on Community Land Trusts we will share our findings with the WLGA. </w:t>
      </w:r>
    </w:p>
    <w:p w14:paraId="465D35E6" w14:textId="13205BD7" w:rsidR="00E81AC5" w:rsidRPr="002422C3" w:rsidRDefault="00E81AC5" w:rsidP="00AE33E9">
      <w:pPr>
        <w:pStyle w:val="Heading2"/>
        <w:rPr>
          <w:color w:val="auto"/>
        </w:rPr>
      </w:pPr>
      <w:r w:rsidRPr="002422C3">
        <w:rPr>
          <w:color w:val="auto"/>
        </w:rPr>
        <w:lastRenderedPageBreak/>
        <w:t>Financial Implications</w:t>
      </w:r>
      <w:r w:rsidR="00101F83">
        <w:rPr>
          <w:color w:val="auto"/>
        </w:rPr>
        <w:t xml:space="preserve"> </w:t>
      </w:r>
      <w:r w:rsidR="00101F83" w:rsidRPr="009E5E45">
        <w:rPr>
          <w:color w:val="C00000"/>
        </w:rPr>
        <w:t xml:space="preserve"> </w:t>
      </w:r>
    </w:p>
    <w:p w14:paraId="673ECA1A" w14:textId="196C6657" w:rsidR="008E748E" w:rsidRPr="002422C3" w:rsidRDefault="00E8722B" w:rsidP="00953728">
      <w:pPr>
        <w:pStyle w:val="ListParagraph"/>
        <w:numPr>
          <w:ilvl w:val="0"/>
          <w:numId w:val="10"/>
        </w:numPr>
      </w:pPr>
      <w:r>
        <w:t xml:space="preserve">The proposed work could be undertaken from the Board’s policy budget. </w:t>
      </w:r>
    </w:p>
    <w:p w14:paraId="43EB3207" w14:textId="5AE174E4"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5B92F865" w14:textId="47329886" w:rsidR="00953728" w:rsidRPr="005A2694" w:rsidRDefault="005A2694" w:rsidP="004D7ED0">
      <w:pPr>
        <w:pStyle w:val="ListParagraph"/>
        <w:numPr>
          <w:ilvl w:val="0"/>
          <w:numId w:val="10"/>
        </w:numPr>
      </w:pPr>
      <w:r w:rsidRPr="005A2694">
        <w:t xml:space="preserve">Clear data on equalities implications arising </w:t>
      </w:r>
      <w:proofErr w:type="gramStart"/>
      <w:r w:rsidRPr="005A2694">
        <w:t>as a result of</w:t>
      </w:r>
      <w:proofErr w:type="gramEnd"/>
      <w:r w:rsidRPr="005A2694">
        <w:t xml:space="preserve"> second homes are limited and this should form part of any work undertaken on behalf of the Board.</w:t>
      </w:r>
    </w:p>
    <w:p w14:paraId="0DD7D346" w14:textId="69CC002F" w:rsidR="00E81AC5" w:rsidRPr="002422C3" w:rsidRDefault="00E81AC5" w:rsidP="00AE33E9">
      <w:pPr>
        <w:pStyle w:val="Heading2"/>
        <w:rPr>
          <w:color w:val="auto"/>
        </w:rPr>
      </w:pPr>
      <w:r w:rsidRPr="002422C3">
        <w:rPr>
          <w:color w:val="auto"/>
        </w:rPr>
        <w:t>Next steps</w:t>
      </w:r>
      <w:r w:rsidR="00B10AD7" w:rsidRPr="002422C3">
        <w:rPr>
          <w:color w:val="auto"/>
        </w:rPr>
        <w:t xml:space="preserve"> </w:t>
      </w:r>
    </w:p>
    <w:p w14:paraId="19415656" w14:textId="6922564A" w:rsidR="00FA1A37" w:rsidRPr="004748F8" w:rsidRDefault="005A2694" w:rsidP="00EF1910">
      <w:pPr>
        <w:pStyle w:val="ListParagraph"/>
        <w:numPr>
          <w:ilvl w:val="0"/>
          <w:numId w:val="10"/>
        </w:numPr>
      </w:pPr>
      <w:r>
        <w:t xml:space="preserve">Officers to </w:t>
      </w:r>
      <w:r w:rsidR="0009171C">
        <w:t>work with</w:t>
      </w:r>
      <w:r>
        <w:t xml:space="preserve"> L</w:t>
      </w:r>
      <w:proofErr w:type="spellStart"/>
      <w:r>
        <w:t>ocalis</w:t>
      </w:r>
      <w:proofErr w:type="spellEnd"/>
      <w:r>
        <w:t xml:space="preserve"> </w:t>
      </w:r>
      <w:r w:rsidR="00D27B95">
        <w:t xml:space="preserve">in line with members’ views and undertake any further work as needed. </w:t>
      </w:r>
    </w:p>
    <w:sectPr w:rsidR="00FA1A37" w:rsidRPr="004748F8" w:rsidSect="00376FD5">
      <w:headerReference w:type="default" r:id="rId25"/>
      <w:footerReference w:type="even" r:id="rId26"/>
      <w:headerReference w:type="first" r:id="rId27"/>
      <w:footerReference w:type="first" r:id="rId28"/>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D1A8" w14:textId="77777777" w:rsidR="003B763E" w:rsidRDefault="003B763E" w:rsidP="00AD62B2">
      <w:r>
        <w:separator/>
      </w:r>
    </w:p>
  </w:endnote>
  <w:endnote w:type="continuationSeparator" w:id="0">
    <w:p w14:paraId="7F477A33" w14:textId="77777777" w:rsidR="003B763E" w:rsidRDefault="003B763E" w:rsidP="00AD62B2">
      <w:r>
        <w:continuationSeparator/>
      </w:r>
    </w:p>
  </w:endnote>
  <w:endnote w:type="continuationNotice" w:id="1">
    <w:p w14:paraId="3B599F4E" w14:textId="77777777" w:rsidR="003B763E" w:rsidRDefault="003B76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0B668" w14:textId="77777777" w:rsidR="003B763E" w:rsidRDefault="003B763E" w:rsidP="00AD62B2">
      <w:r>
        <w:separator/>
      </w:r>
    </w:p>
  </w:footnote>
  <w:footnote w:type="continuationSeparator" w:id="0">
    <w:p w14:paraId="70BD4F81" w14:textId="77777777" w:rsidR="003B763E" w:rsidRDefault="003B763E" w:rsidP="00AD62B2">
      <w:r>
        <w:continuationSeparator/>
      </w:r>
    </w:p>
  </w:footnote>
  <w:footnote w:type="continuationNotice" w:id="1">
    <w:p w14:paraId="79B5F944" w14:textId="77777777" w:rsidR="003B763E" w:rsidRDefault="003B76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1928072719">
    <w:abstractNumId w:val="9"/>
  </w:num>
  <w:num w:numId="2" w16cid:durableId="526869201">
    <w:abstractNumId w:val="17"/>
  </w:num>
  <w:num w:numId="3" w16cid:durableId="1653677528">
    <w:abstractNumId w:val="16"/>
  </w:num>
  <w:num w:numId="4" w16cid:durableId="1638027413">
    <w:abstractNumId w:val="14"/>
  </w:num>
  <w:num w:numId="5" w16cid:durableId="1165899185">
    <w:abstractNumId w:val="11"/>
  </w:num>
  <w:num w:numId="6" w16cid:durableId="1438021692">
    <w:abstractNumId w:val="10"/>
  </w:num>
  <w:num w:numId="7" w16cid:durableId="290480550">
    <w:abstractNumId w:val="12"/>
  </w:num>
  <w:num w:numId="8" w16cid:durableId="219748939">
    <w:abstractNumId w:val="18"/>
  </w:num>
  <w:num w:numId="9" w16cid:durableId="1128813272">
    <w:abstractNumId w:val="15"/>
  </w:num>
  <w:num w:numId="10" w16cid:durableId="553009170">
    <w:abstractNumId w:val="13"/>
  </w:num>
  <w:num w:numId="11" w16cid:durableId="1293245169">
    <w:abstractNumId w:val="7"/>
  </w:num>
  <w:num w:numId="12" w16cid:durableId="937178639">
    <w:abstractNumId w:val="6"/>
  </w:num>
  <w:num w:numId="13" w16cid:durableId="1123229048">
    <w:abstractNumId w:val="5"/>
  </w:num>
  <w:num w:numId="14" w16cid:durableId="211428255">
    <w:abstractNumId w:val="4"/>
  </w:num>
  <w:num w:numId="15" w16cid:durableId="1639146127">
    <w:abstractNumId w:val="8"/>
  </w:num>
  <w:num w:numId="16" w16cid:durableId="812719082">
    <w:abstractNumId w:val="3"/>
  </w:num>
  <w:num w:numId="17" w16cid:durableId="1847598322">
    <w:abstractNumId w:val="2"/>
  </w:num>
  <w:num w:numId="18" w16cid:durableId="680354898">
    <w:abstractNumId w:val="1"/>
  </w:num>
  <w:num w:numId="19" w16cid:durableId="184223923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344BE"/>
    <w:rsid w:val="000367CF"/>
    <w:rsid w:val="000404B5"/>
    <w:rsid w:val="00042F32"/>
    <w:rsid w:val="000505D5"/>
    <w:rsid w:val="0005065C"/>
    <w:rsid w:val="00052698"/>
    <w:rsid w:val="000563A1"/>
    <w:rsid w:val="00066576"/>
    <w:rsid w:val="00076282"/>
    <w:rsid w:val="00084AE6"/>
    <w:rsid w:val="0009168B"/>
    <w:rsid w:val="0009171C"/>
    <w:rsid w:val="00095E27"/>
    <w:rsid w:val="000A3930"/>
    <w:rsid w:val="000A46DA"/>
    <w:rsid w:val="000B7A47"/>
    <w:rsid w:val="000C083B"/>
    <w:rsid w:val="000D007C"/>
    <w:rsid w:val="000F5D79"/>
    <w:rsid w:val="00101F83"/>
    <w:rsid w:val="00105C11"/>
    <w:rsid w:val="00111FB8"/>
    <w:rsid w:val="00116937"/>
    <w:rsid w:val="00125CDC"/>
    <w:rsid w:val="00125D0E"/>
    <w:rsid w:val="00127D91"/>
    <w:rsid w:val="0013378E"/>
    <w:rsid w:val="001379B6"/>
    <w:rsid w:val="00143FF7"/>
    <w:rsid w:val="00151173"/>
    <w:rsid w:val="00151EED"/>
    <w:rsid w:val="00153423"/>
    <w:rsid w:val="00154DF0"/>
    <w:rsid w:val="00160176"/>
    <w:rsid w:val="00162B91"/>
    <w:rsid w:val="0018025D"/>
    <w:rsid w:val="0018163F"/>
    <w:rsid w:val="001879BE"/>
    <w:rsid w:val="00194699"/>
    <w:rsid w:val="001946D8"/>
    <w:rsid w:val="00195A64"/>
    <w:rsid w:val="001B6714"/>
    <w:rsid w:val="001C0B7F"/>
    <w:rsid w:val="001C2D2F"/>
    <w:rsid w:val="001C403B"/>
    <w:rsid w:val="001C5EEA"/>
    <w:rsid w:val="001C7965"/>
    <w:rsid w:val="001D0BC8"/>
    <w:rsid w:val="001D0E03"/>
    <w:rsid w:val="001D31A4"/>
    <w:rsid w:val="001E4FE0"/>
    <w:rsid w:val="001E7F1E"/>
    <w:rsid w:val="001F2371"/>
    <w:rsid w:val="001F77A5"/>
    <w:rsid w:val="0020025E"/>
    <w:rsid w:val="00201BBD"/>
    <w:rsid w:val="00202AA9"/>
    <w:rsid w:val="0021560B"/>
    <w:rsid w:val="0022517A"/>
    <w:rsid w:val="00227805"/>
    <w:rsid w:val="002279B5"/>
    <w:rsid w:val="00232D02"/>
    <w:rsid w:val="002422C3"/>
    <w:rsid w:val="0024715D"/>
    <w:rsid w:val="00254CC6"/>
    <w:rsid w:val="0028316C"/>
    <w:rsid w:val="00292FD7"/>
    <w:rsid w:val="00293819"/>
    <w:rsid w:val="002954FA"/>
    <w:rsid w:val="00296288"/>
    <w:rsid w:val="002A7C7F"/>
    <w:rsid w:val="002B529D"/>
    <w:rsid w:val="002C7020"/>
    <w:rsid w:val="002C7104"/>
    <w:rsid w:val="002D013E"/>
    <w:rsid w:val="002D4F8A"/>
    <w:rsid w:val="002E3791"/>
    <w:rsid w:val="002F7B71"/>
    <w:rsid w:val="0030031B"/>
    <w:rsid w:val="00302864"/>
    <w:rsid w:val="00305796"/>
    <w:rsid w:val="003137E0"/>
    <w:rsid w:val="00321249"/>
    <w:rsid w:val="0032345B"/>
    <w:rsid w:val="00325289"/>
    <w:rsid w:val="00331707"/>
    <w:rsid w:val="003378ED"/>
    <w:rsid w:val="003566B0"/>
    <w:rsid w:val="00357547"/>
    <w:rsid w:val="00363F09"/>
    <w:rsid w:val="00365015"/>
    <w:rsid w:val="00371E87"/>
    <w:rsid w:val="00372F6B"/>
    <w:rsid w:val="003737D0"/>
    <w:rsid w:val="00375F9A"/>
    <w:rsid w:val="00376FD5"/>
    <w:rsid w:val="00385D68"/>
    <w:rsid w:val="0039168F"/>
    <w:rsid w:val="00395AD4"/>
    <w:rsid w:val="003A15A7"/>
    <w:rsid w:val="003A4EEC"/>
    <w:rsid w:val="003A7E51"/>
    <w:rsid w:val="003B763E"/>
    <w:rsid w:val="003D1170"/>
    <w:rsid w:val="003D55B7"/>
    <w:rsid w:val="003E2D47"/>
    <w:rsid w:val="003E42B8"/>
    <w:rsid w:val="003F3A6C"/>
    <w:rsid w:val="00400A51"/>
    <w:rsid w:val="004021A0"/>
    <w:rsid w:val="004026A7"/>
    <w:rsid w:val="004026C3"/>
    <w:rsid w:val="00425C92"/>
    <w:rsid w:val="00425F7F"/>
    <w:rsid w:val="00447DCB"/>
    <w:rsid w:val="0045278B"/>
    <w:rsid w:val="00454F11"/>
    <w:rsid w:val="00455379"/>
    <w:rsid w:val="0047422A"/>
    <w:rsid w:val="004748F8"/>
    <w:rsid w:val="004812FF"/>
    <w:rsid w:val="004813F5"/>
    <w:rsid w:val="00481F27"/>
    <w:rsid w:val="00486944"/>
    <w:rsid w:val="0049044E"/>
    <w:rsid w:val="00493C69"/>
    <w:rsid w:val="004A550F"/>
    <w:rsid w:val="004B0B49"/>
    <w:rsid w:val="004B2C77"/>
    <w:rsid w:val="004B41E6"/>
    <w:rsid w:val="004C0E85"/>
    <w:rsid w:val="004C1903"/>
    <w:rsid w:val="004C67EE"/>
    <w:rsid w:val="004C7EB8"/>
    <w:rsid w:val="004D08FE"/>
    <w:rsid w:val="004D5BED"/>
    <w:rsid w:val="004D736A"/>
    <w:rsid w:val="004D7ED0"/>
    <w:rsid w:val="004E09CD"/>
    <w:rsid w:val="004E2432"/>
    <w:rsid w:val="004E558F"/>
    <w:rsid w:val="004F68A2"/>
    <w:rsid w:val="004F7DB3"/>
    <w:rsid w:val="00503519"/>
    <w:rsid w:val="00503754"/>
    <w:rsid w:val="00516DF0"/>
    <w:rsid w:val="00521AF0"/>
    <w:rsid w:val="00526D9F"/>
    <w:rsid w:val="00527D6E"/>
    <w:rsid w:val="0053346B"/>
    <w:rsid w:val="00535D6E"/>
    <w:rsid w:val="00536657"/>
    <w:rsid w:val="005372A7"/>
    <w:rsid w:val="00540C4E"/>
    <w:rsid w:val="00552CFE"/>
    <w:rsid w:val="00556F71"/>
    <w:rsid w:val="00565620"/>
    <w:rsid w:val="005720CE"/>
    <w:rsid w:val="0057403C"/>
    <w:rsid w:val="00584BDE"/>
    <w:rsid w:val="00584D71"/>
    <w:rsid w:val="005A2694"/>
    <w:rsid w:val="005A3ECB"/>
    <w:rsid w:val="005A6F29"/>
    <w:rsid w:val="005A7236"/>
    <w:rsid w:val="005B40FE"/>
    <w:rsid w:val="005C379A"/>
    <w:rsid w:val="005C399A"/>
    <w:rsid w:val="005C409E"/>
    <w:rsid w:val="005C615D"/>
    <w:rsid w:val="005C636E"/>
    <w:rsid w:val="005D08F8"/>
    <w:rsid w:val="005D52A9"/>
    <w:rsid w:val="005D785E"/>
    <w:rsid w:val="005F05EE"/>
    <w:rsid w:val="005F1E59"/>
    <w:rsid w:val="005F35B6"/>
    <w:rsid w:val="005F7181"/>
    <w:rsid w:val="00605196"/>
    <w:rsid w:val="00610226"/>
    <w:rsid w:val="00616157"/>
    <w:rsid w:val="00617ADF"/>
    <w:rsid w:val="00622CF7"/>
    <w:rsid w:val="00623A13"/>
    <w:rsid w:val="006274C0"/>
    <w:rsid w:val="00627EC8"/>
    <w:rsid w:val="006306EE"/>
    <w:rsid w:val="0063161A"/>
    <w:rsid w:val="00637846"/>
    <w:rsid w:val="00643FF4"/>
    <w:rsid w:val="00645595"/>
    <w:rsid w:val="006455C6"/>
    <w:rsid w:val="00645C7E"/>
    <w:rsid w:val="00650EAD"/>
    <w:rsid w:val="00652442"/>
    <w:rsid w:val="006574A6"/>
    <w:rsid w:val="00664ACC"/>
    <w:rsid w:val="0067291C"/>
    <w:rsid w:val="006731A2"/>
    <w:rsid w:val="006856BC"/>
    <w:rsid w:val="00690B8B"/>
    <w:rsid w:val="0069703A"/>
    <w:rsid w:val="006A0790"/>
    <w:rsid w:val="006B1898"/>
    <w:rsid w:val="006B41CB"/>
    <w:rsid w:val="006C088E"/>
    <w:rsid w:val="006C4319"/>
    <w:rsid w:val="006C70DE"/>
    <w:rsid w:val="006E432A"/>
    <w:rsid w:val="006E5EC5"/>
    <w:rsid w:val="006F12D2"/>
    <w:rsid w:val="006F1D90"/>
    <w:rsid w:val="006F4292"/>
    <w:rsid w:val="006F4968"/>
    <w:rsid w:val="00701BA4"/>
    <w:rsid w:val="00711939"/>
    <w:rsid w:val="0071649C"/>
    <w:rsid w:val="00720DEE"/>
    <w:rsid w:val="007278C2"/>
    <w:rsid w:val="00731307"/>
    <w:rsid w:val="00740387"/>
    <w:rsid w:val="007451DF"/>
    <w:rsid w:val="007522A4"/>
    <w:rsid w:val="007556A8"/>
    <w:rsid w:val="007566A0"/>
    <w:rsid w:val="00762786"/>
    <w:rsid w:val="0077205E"/>
    <w:rsid w:val="007918BC"/>
    <w:rsid w:val="00794A67"/>
    <w:rsid w:val="0079706E"/>
    <w:rsid w:val="007A1E74"/>
    <w:rsid w:val="007A3157"/>
    <w:rsid w:val="007A4D40"/>
    <w:rsid w:val="007B0E3B"/>
    <w:rsid w:val="007B0F24"/>
    <w:rsid w:val="007B1D9E"/>
    <w:rsid w:val="007B4068"/>
    <w:rsid w:val="007B6174"/>
    <w:rsid w:val="007B6FFF"/>
    <w:rsid w:val="007C337E"/>
    <w:rsid w:val="007D2BFD"/>
    <w:rsid w:val="007D335D"/>
    <w:rsid w:val="007D5D75"/>
    <w:rsid w:val="007D6682"/>
    <w:rsid w:val="007E1B30"/>
    <w:rsid w:val="007E4650"/>
    <w:rsid w:val="007F1381"/>
    <w:rsid w:val="007F28E6"/>
    <w:rsid w:val="007F3910"/>
    <w:rsid w:val="007F3EE5"/>
    <w:rsid w:val="007F59BC"/>
    <w:rsid w:val="007F6A7D"/>
    <w:rsid w:val="00803C71"/>
    <w:rsid w:val="00803F83"/>
    <w:rsid w:val="008048EF"/>
    <w:rsid w:val="0080622B"/>
    <w:rsid w:val="00815CCE"/>
    <w:rsid w:val="008200FE"/>
    <w:rsid w:val="00821E3F"/>
    <w:rsid w:val="008330B7"/>
    <w:rsid w:val="008332C5"/>
    <w:rsid w:val="0083394A"/>
    <w:rsid w:val="00842651"/>
    <w:rsid w:val="00847148"/>
    <w:rsid w:val="00847890"/>
    <w:rsid w:val="00856E9E"/>
    <w:rsid w:val="00880C7A"/>
    <w:rsid w:val="0088301E"/>
    <w:rsid w:val="00885D1D"/>
    <w:rsid w:val="008905DD"/>
    <w:rsid w:val="0089382D"/>
    <w:rsid w:val="00895969"/>
    <w:rsid w:val="008A0722"/>
    <w:rsid w:val="008A5A73"/>
    <w:rsid w:val="008B2E69"/>
    <w:rsid w:val="008B5701"/>
    <w:rsid w:val="008C33DB"/>
    <w:rsid w:val="008C7AEC"/>
    <w:rsid w:val="008D476F"/>
    <w:rsid w:val="008E2EC3"/>
    <w:rsid w:val="008E5800"/>
    <w:rsid w:val="008E748E"/>
    <w:rsid w:val="008F5B31"/>
    <w:rsid w:val="008F5F53"/>
    <w:rsid w:val="008F608D"/>
    <w:rsid w:val="009000B6"/>
    <w:rsid w:val="00902EFF"/>
    <w:rsid w:val="00905BB1"/>
    <w:rsid w:val="00910C02"/>
    <w:rsid w:val="00923F56"/>
    <w:rsid w:val="00936955"/>
    <w:rsid w:val="0094273B"/>
    <w:rsid w:val="009433BF"/>
    <w:rsid w:val="009536BB"/>
    <w:rsid w:val="00953728"/>
    <w:rsid w:val="00955328"/>
    <w:rsid w:val="00960AD7"/>
    <w:rsid w:val="0096147C"/>
    <w:rsid w:val="00963DC2"/>
    <w:rsid w:val="0096624C"/>
    <w:rsid w:val="00975869"/>
    <w:rsid w:val="009846C6"/>
    <w:rsid w:val="0098520D"/>
    <w:rsid w:val="00987523"/>
    <w:rsid w:val="009878BD"/>
    <w:rsid w:val="00987B43"/>
    <w:rsid w:val="009A0899"/>
    <w:rsid w:val="009A2A70"/>
    <w:rsid w:val="009A6C11"/>
    <w:rsid w:val="009B7F7E"/>
    <w:rsid w:val="009C0A70"/>
    <w:rsid w:val="009C5246"/>
    <w:rsid w:val="009C6E89"/>
    <w:rsid w:val="009D274E"/>
    <w:rsid w:val="009D61D2"/>
    <w:rsid w:val="009D6442"/>
    <w:rsid w:val="009D77EE"/>
    <w:rsid w:val="009E2623"/>
    <w:rsid w:val="009E3E52"/>
    <w:rsid w:val="009E5E45"/>
    <w:rsid w:val="009E6111"/>
    <w:rsid w:val="009F1F4A"/>
    <w:rsid w:val="00A02CAC"/>
    <w:rsid w:val="00A247CC"/>
    <w:rsid w:val="00A42B71"/>
    <w:rsid w:val="00A45341"/>
    <w:rsid w:val="00A60982"/>
    <w:rsid w:val="00A66656"/>
    <w:rsid w:val="00A818E1"/>
    <w:rsid w:val="00A956F4"/>
    <w:rsid w:val="00AA2CA8"/>
    <w:rsid w:val="00AB01D7"/>
    <w:rsid w:val="00AB022A"/>
    <w:rsid w:val="00AB56A2"/>
    <w:rsid w:val="00AB6A66"/>
    <w:rsid w:val="00AC2ACE"/>
    <w:rsid w:val="00AC2D89"/>
    <w:rsid w:val="00AD62B2"/>
    <w:rsid w:val="00AE2A6E"/>
    <w:rsid w:val="00AE33E9"/>
    <w:rsid w:val="00AF201F"/>
    <w:rsid w:val="00AF274D"/>
    <w:rsid w:val="00AF421F"/>
    <w:rsid w:val="00B0699A"/>
    <w:rsid w:val="00B07107"/>
    <w:rsid w:val="00B101EC"/>
    <w:rsid w:val="00B10AD7"/>
    <w:rsid w:val="00B14707"/>
    <w:rsid w:val="00B223D9"/>
    <w:rsid w:val="00B22BB1"/>
    <w:rsid w:val="00B270C0"/>
    <w:rsid w:val="00B31A97"/>
    <w:rsid w:val="00B43FC6"/>
    <w:rsid w:val="00B47109"/>
    <w:rsid w:val="00B47181"/>
    <w:rsid w:val="00B53CD9"/>
    <w:rsid w:val="00B56823"/>
    <w:rsid w:val="00B632F8"/>
    <w:rsid w:val="00B632FD"/>
    <w:rsid w:val="00B6379A"/>
    <w:rsid w:val="00B675FD"/>
    <w:rsid w:val="00B754E7"/>
    <w:rsid w:val="00B81E51"/>
    <w:rsid w:val="00B826E5"/>
    <w:rsid w:val="00B872F6"/>
    <w:rsid w:val="00BA10BE"/>
    <w:rsid w:val="00BA5321"/>
    <w:rsid w:val="00BC1F12"/>
    <w:rsid w:val="00BC46FD"/>
    <w:rsid w:val="00BC6B2D"/>
    <w:rsid w:val="00BD5521"/>
    <w:rsid w:val="00BE0ACB"/>
    <w:rsid w:val="00BE75B3"/>
    <w:rsid w:val="00BF770F"/>
    <w:rsid w:val="00C22A6C"/>
    <w:rsid w:val="00C51037"/>
    <w:rsid w:val="00C5141C"/>
    <w:rsid w:val="00C55AED"/>
    <w:rsid w:val="00C60EC5"/>
    <w:rsid w:val="00C629EB"/>
    <w:rsid w:val="00C64EDF"/>
    <w:rsid w:val="00C65A1B"/>
    <w:rsid w:val="00C77025"/>
    <w:rsid w:val="00C84BCF"/>
    <w:rsid w:val="00C85990"/>
    <w:rsid w:val="00C9073A"/>
    <w:rsid w:val="00C91B42"/>
    <w:rsid w:val="00C92573"/>
    <w:rsid w:val="00C9439A"/>
    <w:rsid w:val="00CA5846"/>
    <w:rsid w:val="00CA6CB6"/>
    <w:rsid w:val="00CA6D55"/>
    <w:rsid w:val="00CB3530"/>
    <w:rsid w:val="00CC0113"/>
    <w:rsid w:val="00CC2C9E"/>
    <w:rsid w:val="00CC4849"/>
    <w:rsid w:val="00CC4C24"/>
    <w:rsid w:val="00CD0C85"/>
    <w:rsid w:val="00CD532B"/>
    <w:rsid w:val="00CD6AA8"/>
    <w:rsid w:val="00CE1D9D"/>
    <w:rsid w:val="00CE5FE0"/>
    <w:rsid w:val="00D028ED"/>
    <w:rsid w:val="00D10FCA"/>
    <w:rsid w:val="00D12825"/>
    <w:rsid w:val="00D27B95"/>
    <w:rsid w:val="00D30BBE"/>
    <w:rsid w:val="00D34ACB"/>
    <w:rsid w:val="00D37C6F"/>
    <w:rsid w:val="00D51669"/>
    <w:rsid w:val="00D64C73"/>
    <w:rsid w:val="00D6572E"/>
    <w:rsid w:val="00D70FE5"/>
    <w:rsid w:val="00D81007"/>
    <w:rsid w:val="00D9187A"/>
    <w:rsid w:val="00D91A5B"/>
    <w:rsid w:val="00DA0457"/>
    <w:rsid w:val="00DA13B0"/>
    <w:rsid w:val="00DA5AAB"/>
    <w:rsid w:val="00DB6110"/>
    <w:rsid w:val="00DB707D"/>
    <w:rsid w:val="00DD44F2"/>
    <w:rsid w:val="00DD47BD"/>
    <w:rsid w:val="00DD54A1"/>
    <w:rsid w:val="00DD7F51"/>
    <w:rsid w:val="00DE0EF3"/>
    <w:rsid w:val="00DE663C"/>
    <w:rsid w:val="00E0165F"/>
    <w:rsid w:val="00E03F31"/>
    <w:rsid w:val="00E141F7"/>
    <w:rsid w:val="00E27426"/>
    <w:rsid w:val="00E53F9C"/>
    <w:rsid w:val="00E56600"/>
    <w:rsid w:val="00E610E1"/>
    <w:rsid w:val="00E618C5"/>
    <w:rsid w:val="00E61E6E"/>
    <w:rsid w:val="00E67AE0"/>
    <w:rsid w:val="00E7747A"/>
    <w:rsid w:val="00E81AC5"/>
    <w:rsid w:val="00E82156"/>
    <w:rsid w:val="00E85176"/>
    <w:rsid w:val="00E8722B"/>
    <w:rsid w:val="00EA5F76"/>
    <w:rsid w:val="00EA6CDB"/>
    <w:rsid w:val="00EB4174"/>
    <w:rsid w:val="00ED5BAA"/>
    <w:rsid w:val="00EE48FE"/>
    <w:rsid w:val="00EF1910"/>
    <w:rsid w:val="00F069C8"/>
    <w:rsid w:val="00F075F3"/>
    <w:rsid w:val="00F11BF5"/>
    <w:rsid w:val="00F17700"/>
    <w:rsid w:val="00F22C64"/>
    <w:rsid w:val="00F24E47"/>
    <w:rsid w:val="00F264F7"/>
    <w:rsid w:val="00F35419"/>
    <w:rsid w:val="00F3594F"/>
    <w:rsid w:val="00F54AF3"/>
    <w:rsid w:val="00F54F92"/>
    <w:rsid w:val="00F6662B"/>
    <w:rsid w:val="00F66F8F"/>
    <w:rsid w:val="00F72E14"/>
    <w:rsid w:val="00F770BA"/>
    <w:rsid w:val="00F80841"/>
    <w:rsid w:val="00F83049"/>
    <w:rsid w:val="00F85D4C"/>
    <w:rsid w:val="00F867C7"/>
    <w:rsid w:val="00F86C57"/>
    <w:rsid w:val="00F879D1"/>
    <w:rsid w:val="00FA1A37"/>
    <w:rsid w:val="00FA3617"/>
    <w:rsid w:val="00FB2952"/>
    <w:rsid w:val="00FC358A"/>
    <w:rsid w:val="00FE1983"/>
    <w:rsid w:val="00FF0842"/>
    <w:rsid w:val="00FF3EAB"/>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character" w:styleId="FollowedHyperlink">
    <w:name w:val="FollowedHyperlink"/>
    <w:basedOn w:val="DefaultParagraphFont"/>
    <w:uiPriority w:val="99"/>
    <w:semiHidden/>
    <w:unhideWhenUsed/>
    <w:rsid w:val="00EA5F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360907446">
      <w:bodyDiv w:val="1"/>
      <w:marLeft w:val="0"/>
      <w:marRight w:val="0"/>
      <w:marTop w:val="0"/>
      <w:marBottom w:val="0"/>
      <w:divBdr>
        <w:top w:val="none" w:sz="0" w:space="0" w:color="auto"/>
        <w:left w:val="none" w:sz="0" w:space="0" w:color="auto"/>
        <w:bottom w:val="none" w:sz="0" w:space="0" w:color="auto"/>
        <w:right w:val="none" w:sz="0" w:space="0" w:color="auto"/>
      </w:divBdr>
    </w:div>
    <w:div w:id="399404298">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73337222">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01457524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576165802">
      <w:bodyDiv w:val="1"/>
      <w:marLeft w:val="0"/>
      <w:marRight w:val="0"/>
      <w:marTop w:val="0"/>
      <w:marBottom w:val="0"/>
      <w:divBdr>
        <w:top w:val="none" w:sz="0" w:space="0" w:color="auto"/>
        <w:left w:val="none" w:sz="0" w:space="0" w:color="auto"/>
        <w:bottom w:val="none" w:sz="0" w:space="0" w:color="auto"/>
        <w:right w:val="none" w:sz="0" w:space="0" w:color="auto"/>
      </w:divBdr>
    </w:div>
    <w:div w:id="1714384197">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rural-recognition-recovery-resilience-and-revitalisation" TargetMode="External"/><Relationship Id="rId18" Type="http://schemas.openxmlformats.org/officeDocument/2006/relationships/hyperlink" Target="https://www.nrla.org.uk/news/budget-2020-action-needed-to-halt-fall-in-supply-of-hom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consultations/developing-a-tourist-accommodation-registration-scheme-in-england/developing-a-tourist-accommodation-registration-scheme-in-england-call-for-evidence" TargetMode="External"/><Relationship Id="rId7" Type="http://schemas.openxmlformats.org/officeDocument/2006/relationships/settings" Target="settings.xml"/><Relationship Id="rId12" Type="http://schemas.openxmlformats.org/officeDocument/2006/relationships/hyperlink" Target="mailto:rebecca.cox@local.gov.uk" TargetMode="External"/><Relationship Id="rId17" Type="http://schemas.openxmlformats.org/officeDocument/2006/relationships/hyperlink" Target="https://researchbriefings.files.parliament.uk/documents/CBP-8395/CBP-8395.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ykescottages.co.uk/blog/staycation-index-2021/" TargetMode="External"/><Relationship Id="rId20" Type="http://schemas.openxmlformats.org/officeDocument/2006/relationships/hyperlink" Target="https://www.local.gov.uk/parliament/briefings-and-responses/levelling-and-regeneration-bill-committee-stage-house-lords-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search.senedd.wales/research-articles/second-homes-what-s-happening-in-wales/" TargetMode="External"/><Relationship Id="rId5" Type="http://schemas.openxmlformats.org/officeDocument/2006/relationships/numbering" Target="numbering.xml"/><Relationship Id="rId15" Type="http://schemas.openxmlformats.org/officeDocument/2006/relationships/hyperlink" Target="https://www.ons.gov.uk/economy/inflationandpriceindices/articles/housepricesintouristhotspotsincreasinglyoutofreachforyoungandlowpaid/2021-09-28" TargetMode="External"/><Relationship Id="rId23" Type="http://schemas.openxmlformats.org/officeDocument/2006/relationships/hyperlink" Target="https://www.local.gov.uk/search/all/community%2Bland%2Btrust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propertymark.co.uk/resource/the-impact-of-short-term-le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98190/2020_EHS_second_homes_factsheet.pdf" TargetMode="External"/><Relationship Id="rId22" Type="http://schemas.openxmlformats.org/officeDocument/2006/relationships/hyperlink" Target="https://www.local.gov.uk/parliament/briefings-and-responses/lga-response-developing-tourist-accommodation-scheme-england-21" TargetMode="External"/><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 xsi:nil="true"/>
    <Note xmlns="4520c7fa-54ba-41d5-834d-5e02fe4ea8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4520c7fa-54ba-41d5-834d-5e02fe4ea81d"/>
  </ds:schemaRefs>
</ds:datastoreItem>
</file>

<file path=customXml/itemProps3.xml><?xml version="1.0" encoding="utf-8"?>
<ds:datastoreItem xmlns:ds="http://schemas.openxmlformats.org/officeDocument/2006/customXml" ds:itemID="{17E03314-F80F-4093-857D-1C81328D3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1675</TotalTime>
  <Pages>6</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Rebecca Cox</cp:lastModifiedBy>
  <cp:revision>147</cp:revision>
  <dcterms:created xsi:type="dcterms:W3CDTF">2023-02-22T21:08:00Z</dcterms:created>
  <dcterms:modified xsi:type="dcterms:W3CDTF">2023-03-08T21:22:00Z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y fmtid="{D5CDD505-2E9C-101B-9397-08002B2CF9AE}" pid="3" name="Document owner">
    <vt:lpwstr>999;#LGA MemberServices</vt:lpwstr>
  </property>
</Properties>
</file>